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1B59" w14:textId="77777777" w:rsidR="0062344B" w:rsidRPr="0062344B" w:rsidRDefault="0062344B" w:rsidP="0062344B">
      <w:pPr>
        <w:spacing w:before="100" w:beforeAutospacing="1" w:after="100" w:afterAutospacing="1" w:line="240" w:lineRule="auto"/>
        <w:jc w:val="center"/>
        <w:outlineLvl w:val="0"/>
        <w:rPr>
          <w:rFonts w:ascii="Arial" w:eastAsia="Times New Roman" w:hAnsi="Arial" w:cs="Arial"/>
          <w:b/>
          <w:bCs/>
          <w:color w:val="42146C"/>
          <w:kern w:val="36"/>
          <w:sz w:val="48"/>
          <w:szCs w:val="48"/>
        </w:rPr>
      </w:pPr>
      <w:r w:rsidRPr="0062344B">
        <w:rPr>
          <w:rFonts w:ascii="Arial" w:eastAsia="Times New Roman" w:hAnsi="Arial" w:cs="Arial"/>
          <w:b/>
          <w:bCs/>
          <w:color w:val="42146C"/>
          <w:kern w:val="36"/>
          <w:sz w:val="48"/>
          <w:szCs w:val="48"/>
        </w:rPr>
        <w:t xml:space="preserve">2023 Open Forum </w:t>
      </w:r>
      <w:proofErr w:type="spellStart"/>
      <w:r w:rsidRPr="0062344B">
        <w:rPr>
          <w:rFonts w:ascii="Arial" w:eastAsia="Times New Roman" w:hAnsi="Arial" w:cs="Arial"/>
          <w:b/>
          <w:bCs/>
          <w:color w:val="42146C"/>
          <w:kern w:val="36"/>
          <w:sz w:val="48"/>
          <w:szCs w:val="48"/>
        </w:rPr>
        <w:t>NxGen</w:t>
      </w:r>
      <w:proofErr w:type="spellEnd"/>
      <w:r w:rsidRPr="0062344B">
        <w:rPr>
          <w:rFonts w:ascii="Arial" w:eastAsia="Times New Roman" w:hAnsi="Arial" w:cs="Arial"/>
          <w:b/>
          <w:bCs/>
          <w:color w:val="42146C"/>
          <w:kern w:val="36"/>
          <w:sz w:val="48"/>
          <w:szCs w:val="48"/>
        </w:rPr>
        <w:t xml:space="preserve"> Conference</w:t>
      </w:r>
    </w:p>
    <w:p w14:paraId="399E22FD"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rPr>
        <w:t>For over twenty years, NNPHI has been convening public health experts to improve our public health systems and advance training across the workforce. The Open Forum Meeting for Quality Improvement (QI) in Public Health served as one of the signature communities we support to build knowledge together. </w:t>
      </w:r>
    </w:p>
    <w:p w14:paraId="02B10EEB"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rPr>
        <w:t>NNPHI is proud to host </w:t>
      </w:r>
      <w:r w:rsidRPr="0062344B">
        <w:rPr>
          <w:rFonts w:ascii="Trebuchet MS" w:eastAsia="Times New Roman" w:hAnsi="Trebuchet MS" w:cs="Arial"/>
          <w:b/>
          <w:bCs/>
          <w:color w:val="000000"/>
          <w:sz w:val="24"/>
          <w:szCs w:val="24"/>
          <w:bdr w:val="none" w:sz="0" w:space="0" w:color="auto" w:frame="1"/>
        </w:rPr>
        <w:t>Open Forum Next Generation (</w:t>
      </w:r>
      <w:proofErr w:type="spellStart"/>
      <w:r w:rsidRPr="0062344B">
        <w:rPr>
          <w:rFonts w:ascii="Trebuchet MS" w:eastAsia="Times New Roman" w:hAnsi="Trebuchet MS" w:cs="Arial"/>
          <w:b/>
          <w:bCs/>
          <w:color w:val="000000"/>
          <w:sz w:val="24"/>
          <w:szCs w:val="24"/>
          <w:bdr w:val="none" w:sz="0" w:space="0" w:color="auto" w:frame="1"/>
        </w:rPr>
        <w:t>NxGen</w:t>
      </w:r>
      <w:proofErr w:type="spellEnd"/>
      <w:r w:rsidRPr="0062344B">
        <w:rPr>
          <w:rFonts w:ascii="Trebuchet MS" w:eastAsia="Times New Roman" w:hAnsi="Trebuchet MS" w:cs="Arial"/>
          <w:b/>
          <w:bCs/>
          <w:color w:val="000000"/>
          <w:sz w:val="24"/>
          <w:szCs w:val="24"/>
          <w:bdr w:val="none" w:sz="0" w:space="0" w:color="auto" w:frame="1"/>
        </w:rPr>
        <w:t>)</w:t>
      </w:r>
      <w:r w:rsidRPr="0062344B">
        <w:rPr>
          <w:rFonts w:ascii="Trebuchet MS" w:eastAsia="Times New Roman" w:hAnsi="Trebuchet MS" w:cs="Arial"/>
          <w:color w:val="000000"/>
          <w:sz w:val="24"/>
          <w:szCs w:val="24"/>
        </w:rPr>
        <w:t xml:space="preserve">. This is the latest version of the traditional Open Forum convening but with a new focus on developing the current and future public health workforce to meet the ever-evolving needs. The Open Forum </w:t>
      </w:r>
      <w:proofErr w:type="spellStart"/>
      <w:r w:rsidRPr="0062344B">
        <w:rPr>
          <w:rFonts w:ascii="Trebuchet MS" w:eastAsia="Times New Roman" w:hAnsi="Trebuchet MS" w:cs="Arial"/>
          <w:color w:val="000000"/>
          <w:sz w:val="24"/>
          <w:szCs w:val="24"/>
        </w:rPr>
        <w:t>NxGen</w:t>
      </w:r>
      <w:proofErr w:type="spellEnd"/>
      <w:r w:rsidRPr="0062344B">
        <w:rPr>
          <w:rFonts w:ascii="Trebuchet MS" w:eastAsia="Times New Roman" w:hAnsi="Trebuchet MS" w:cs="Arial"/>
          <w:color w:val="000000"/>
          <w:sz w:val="24"/>
          <w:szCs w:val="24"/>
        </w:rPr>
        <w:t xml:space="preserve"> immerses public health leaders and professionals in compelling, innovative, and emerging content.</w:t>
      </w:r>
    </w:p>
    <w:p w14:paraId="5D95FA07"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Join us September 27-29 in Indianapolis, Indiana</w:t>
      </w:r>
      <w:r w:rsidRPr="0062344B">
        <w:rPr>
          <w:rFonts w:ascii="Trebuchet MS" w:eastAsia="Times New Roman" w:hAnsi="Trebuchet MS" w:cs="Arial"/>
          <w:color w:val="000000"/>
          <w:sz w:val="24"/>
          <w:szCs w:val="24"/>
        </w:rPr>
        <w:t> where we’ll showcase the best and emerging practices and innovations related to public health infrastructure, the public health workforce, complex public health challenges, and topics related to performance management and quality improvement. We are now accepting abstracts for presentations, workshops, roundtables and posters.</w:t>
      </w:r>
    </w:p>
    <w:p w14:paraId="5DA5C246"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bdr w:val="none" w:sz="0" w:space="0" w:color="auto" w:frame="1"/>
        </w:rPr>
        <w:t>The </w:t>
      </w:r>
      <w:r w:rsidRPr="0062344B">
        <w:rPr>
          <w:rFonts w:ascii="Trebuchet MS" w:eastAsia="Times New Roman" w:hAnsi="Trebuchet MS" w:cs="Arial"/>
          <w:b/>
          <w:bCs/>
          <w:color w:val="000000"/>
          <w:sz w:val="24"/>
          <w:szCs w:val="24"/>
          <w:bdr w:val="none" w:sz="0" w:space="0" w:color="auto" w:frame="1"/>
        </w:rPr>
        <w:t xml:space="preserve">Open Forum </w:t>
      </w:r>
      <w:proofErr w:type="spellStart"/>
      <w:r w:rsidRPr="0062344B">
        <w:rPr>
          <w:rFonts w:ascii="Trebuchet MS" w:eastAsia="Times New Roman" w:hAnsi="Trebuchet MS" w:cs="Arial"/>
          <w:b/>
          <w:bCs/>
          <w:color w:val="000000"/>
          <w:sz w:val="24"/>
          <w:szCs w:val="24"/>
          <w:bdr w:val="none" w:sz="0" w:space="0" w:color="auto" w:frame="1"/>
        </w:rPr>
        <w:t>NxGen</w:t>
      </w:r>
      <w:proofErr w:type="spellEnd"/>
      <w:r w:rsidRPr="0062344B">
        <w:rPr>
          <w:rFonts w:ascii="Trebuchet MS" w:eastAsia="Times New Roman" w:hAnsi="Trebuchet MS" w:cs="Arial"/>
          <w:color w:val="000000"/>
          <w:sz w:val="24"/>
          <w:szCs w:val="24"/>
          <w:bdr w:val="none" w:sz="0" w:space="0" w:color="auto" w:frame="1"/>
        </w:rPr>
        <w:t> welcomes abstracts in research and practice that focus on application, innovation, and equity. Submissions from public health practitioners willing to share highlights, challenges, and lessons learned from the implementation of public health initiatives are especially encouraged.</w:t>
      </w:r>
    </w:p>
    <w:p w14:paraId="3B1ADF35" w14:textId="77777777" w:rsidR="0062344B" w:rsidRDefault="0062344B">
      <w:pPr>
        <w:rPr>
          <w:rFonts w:ascii="Trebuchet MS" w:hAnsi="Trebuchet MS"/>
          <w:b/>
          <w:bCs/>
          <w:color w:val="000000"/>
          <w:bdr w:val="none" w:sz="0" w:space="0" w:color="auto" w:frame="1"/>
          <w:shd w:val="clear" w:color="auto" w:fill="FFFFFF"/>
        </w:rPr>
      </w:pPr>
    </w:p>
    <w:p w14:paraId="10F1BDB0" w14:textId="77777777" w:rsidR="0062344B" w:rsidRPr="0062344B" w:rsidRDefault="0062344B" w:rsidP="0062344B">
      <w:pPr>
        <w:spacing w:after="0" w:line="240" w:lineRule="auto"/>
        <w:jc w:val="center"/>
        <w:rPr>
          <w:rFonts w:ascii="Trebuchet MS" w:eastAsia="Times New Roman" w:hAnsi="Trebuchet MS" w:cs="Arial"/>
          <w:b/>
          <w:bCs/>
          <w:color w:val="42146C"/>
          <w:sz w:val="24"/>
          <w:szCs w:val="24"/>
        </w:rPr>
      </w:pPr>
      <w:r w:rsidRPr="0062344B">
        <w:rPr>
          <w:rFonts w:ascii="Trebuchet MS" w:eastAsia="Times New Roman" w:hAnsi="Trebuchet MS" w:cs="Arial"/>
          <w:b/>
          <w:bCs/>
          <w:color w:val="42146C"/>
          <w:sz w:val="24"/>
          <w:szCs w:val="24"/>
        </w:rPr>
        <w:t>Submission Tracks</w:t>
      </w:r>
    </w:p>
    <w:p w14:paraId="2506BCB7"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We are seeking abstracts for four (4) learning tracks:</w:t>
      </w:r>
    </w:p>
    <w:p w14:paraId="0E827FAA" w14:textId="77777777" w:rsidR="0062344B" w:rsidRPr="0062344B" w:rsidRDefault="0062344B" w:rsidP="0062344B">
      <w:pPr>
        <w:numPr>
          <w:ilvl w:val="0"/>
          <w:numId w:val="1"/>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rPr>
        <w:t>Public Health Infrastructure</w:t>
      </w:r>
    </w:p>
    <w:p w14:paraId="3F6865AA" w14:textId="77777777" w:rsidR="0062344B" w:rsidRPr="0062344B" w:rsidRDefault="0062344B" w:rsidP="0062344B">
      <w:pPr>
        <w:numPr>
          <w:ilvl w:val="0"/>
          <w:numId w:val="1"/>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rPr>
        <w:t>Advancing and Renewing the Public Health Workforce</w:t>
      </w:r>
    </w:p>
    <w:p w14:paraId="2310FA7C" w14:textId="77777777" w:rsidR="0062344B" w:rsidRPr="0062344B" w:rsidRDefault="0062344B" w:rsidP="0062344B">
      <w:pPr>
        <w:numPr>
          <w:ilvl w:val="0"/>
          <w:numId w:val="1"/>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rPr>
        <w:t>(Re)Shaping the Future of Public Health</w:t>
      </w:r>
    </w:p>
    <w:p w14:paraId="5D6624B6" w14:textId="77777777" w:rsidR="0062344B" w:rsidRPr="0062344B" w:rsidRDefault="0062344B" w:rsidP="0062344B">
      <w:pPr>
        <w:numPr>
          <w:ilvl w:val="0"/>
          <w:numId w:val="1"/>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color w:val="000000"/>
          <w:sz w:val="24"/>
          <w:szCs w:val="24"/>
        </w:rPr>
        <w:t>Performance Management and Quality Improvement </w:t>
      </w:r>
    </w:p>
    <w:p w14:paraId="329B46C4" w14:textId="77777777" w:rsidR="0062344B" w:rsidRDefault="0062344B">
      <w:pPr>
        <w:rPr>
          <w:rFonts w:ascii="Trebuchet MS" w:hAnsi="Trebuchet MS"/>
          <w:b/>
          <w:bCs/>
          <w:color w:val="000000"/>
          <w:bdr w:val="none" w:sz="0" w:space="0" w:color="auto" w:frame="1"/>
          <w:shd w:val="clear" w:color="auto" w:fill="FFFFFF"/>
        </w:rPr>
      </w:pPr>
    </w:p>
    <w:p w14:paraId="09F68F38" w14:textId="77777777" w:rsidR="00181867" w:rsidRDefault="0062344B">
      <w:pPr>
        <w:rPr>
          <w:rFonts w:ascii="Trebuchet MS" w:hAnsi="Trebuchet MS"/>
          <w:color w:val="000000"/>
          <w:shd w:val="clear" w:color="auto" w:fill="FFFFFF"/>
        </w:rPr>
      </w:pPr>
      <w:r>
        <w:rPr>
          <w:rFonts w:ascii="Trebuchet MS" w:hAnsi="Trebuchet MS"/>
          <w:b/>
          <w:bCs/>
          <w:color w:val="000000"/>
          <w:bdr w:val="none" w:sz="0" w:space="0" w:color="auto" w:frame="1"/>
          <w:shd w:val="clear" w:color="auto" w:fill="FFFFFF"/>
        </w:rPr>
        <w:t>Advancing and Renewing the Public Health Workforce: </w:t>
      </w:r>
      <w:r>
        <w:rPr>
          <w:rFonts w:ascii="Trebuchet MS" w:hAnsi="Trebuchet MS"/>
          <w:color w:val="000000"/>
          <w:shd w:val="clear" w:color="auto" w:fill="FFFFFF"/>
        </w:rPr>
        <w:t>This track focuses on strategies for strengthening and revitalizing the workforce. Sessions may cover workforce development, innovative staffing models, diversity and inclusion, leadership, wellness and mental health support, and more.  </w:t>
      </w:r>
    </w:p>
    <w:p w14:paraId="52E10BCB" w14:textId="77777777" w:rsidR="0062344B" w:rsidRPr="0062344B" w:rsidRDefault="0062344B" w:rsidP="0062344B">
      <w:pPr>
        <w:spacing w:after="0" w:line="240" w:lineRule="auto"/>
        <w:jc w:val="center"/>
        <w:rPr>
          <w:rFonts w:ascii="Trebuchet MS" w:eastAsia="Times New Roman" w:hAnsi="Trebuchet MS" w:cs="Arial"/>
          <w:b/>
          <w:bCs/>
          <w:color w:val="42146C"/>
          <w:sz w:val="24"/>
          <w:szCs w:val="24"/>
        </w:rPr>
      </w:pPr>
      <w:r w:rsidRPr="0062344B">
        <w:rPr>
          <w:rFonts w:ascii="Trebuchet MS" w:eastAsia="Times New Roman" w:hAnsi="Trebuchet MS" w:cs="Arial"/>
          <w:b/>
          <w:bCs/>
          <w:color w:val="42146C"/>
          <w:sz w:val="24"/>
          <w:szCs w:val="24"/>
        </w:rPr>
        <w:t>Presentation Formats</w:t>
      </w:r>
    </w:p>
    <w:p w14:paraId="1E8E4A48"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Presentation Formats: </w:t>
      </w:r>
      <w:r w:rsidRPr="0062344B">
        <w:rPr>
          <w:rFonts w:ascii="Trebuchet MS" w:eastAsia="Times New Roman" w:hAnsi="Trebuchet MS" w:cs="Arial"/>
          <w:color w:val="000000"/>
          <w:sz w:val="24"/>
          <w:szCs w:val="24"/>
          <w:bdr w:val="none" w:sz="0" w:space="0" w:color="auto" w:frame="1"/>
        </w:rPr>
        <w:t>Abstracts will be accepted for presentation in one of four (4) formats:</w:t>
      </w:r>
    </w:p>
    <w:p w14:paraId="53C47656" w14:textId="77777777" w:rsidR="0062344B" w:rsidRPr="0062344B" w:rsidRDefault="0062344B" w:rsidP="0062344B">
      <w:pPr>
        <w:numPr>
          <w:ilvl w:val="0"/>
          <w:numId w:val="2"/>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Workshops: </w:t>
      </w:r>
      <w:r w:rsidRPr="0062344B">
        <w:rPr>
          <w:rFonts w:ascii="Trebuchet MS" w:eastAsia="Times New Roman" w:hAnsi="Trebuchet MS" w:cs="Arial"/>
          <w:color w:val="000000"/>
          <w:sz w:val="24"/>
          <w:szCs w:val="24"/>
          <w:bdr w:val="none" w:sz="0" w:space="0" w:color="auto" w:frame="1"/>
        </w:rPr>
        <w:t>75-minute sessions with up to 60 participants per session to allow for small group discussions and interactive activities. These sessions should focus on skill-building and providing tangible tools or resources for participants.</w:t>
      </w:r>
    </w:p>
    <w:p w14:paraId="32FC9457" w14:textId="77777777" w:rsidR="0062344B" w:rsidRPr="0062344B" w:rsidRDefault="0062344B" w:rsidP="0062344B">
      <w:pPr>
        <w:numPr>
          <w:ilvl w:val="0"/>
          <w:numId w:val="2"/>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Breakout Presentation: </w:t>
      </w:r>
      <w:r w:rsidRPr="0062344B">
        <w:rPr>
          <w:rFonts w:ascii="Trebuchet MS" w:eastAsia="Times New Roman" w:hAnsi="Trebuchet MS" w:cs="Arial"/>
          <w:color w:val="000000"/>
          <w:sz w:val="24"/>
          <w:szCs w:val="24"/>
          <w:bdr w:val="none" w:sz="0" w:space="0" w:color="auto" w:frame="1"/>
        </w:rPr>
        <w:t>30-minute breakout sessions with up to six sessions happening concurrently. Presenter(s) should prepare 20 minutes maximum of content and then allow time for engaging the audience with Q&amp;A and discussion.</w:t>
      </w:r>
    </w:p>
    <w:p w14:paraId="1ED391F1" w14:textId="77777777" w:rsidR="0062344B" w:rsidRPr="0062344B" w:rsidRDefault="0062344B" w:rsidP="0062344B">
      <w:pPr>
        <w:numPr>
          <w:ilvl w:val="0"/>
          <w:numId w:val="2"/>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lastRenderedPageBreak/>
        <w:t>Roundtable Presentation:</w:t>
      </w:r>
      <w:r w:rsidRPr="0062344B">
        <w:rPr>
          <w:rFonts w:ascii="Trebuchet MS" w:eastAsia="Times New Roman" w:hAnsi="Trebuchet MS" w:cs="Arial"/>
          <w:color w:val="000000"/>
          <w:sz w:val="24"/>
          <w:szCs w:val="24"/>
          <w:bdr w:val="none" w:sz="0" w:space="0" w:color="auto" w:frame="1"/>
        </w:rPr>
        <w:t> 60 minutes with approximately 10-12 participants per table. Presenter(s) should share on a topic for about 15 minutes, then facilitate a Q&amp;A and discussion among participants.</w:t>
      </w:r>
    </w:p>
    <w:p w14:paraId="35929734" w14:textId="77777777" w:rsidR="0062344B" w:rsidRPr="0062344B" w:rsidRDefault="0062344B" w:rsidP="0062344B">
      <w:pPr>
        <w:numPr>
          <w:ilvl w:val="0"/>
          <w:numId w:val="2"/>
        </w:numPr>
        <w:spacing w:after="0" w:line="240" w:lineRule="auto"/>
        <w:ind w:left="0"/>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Poster Presentation: </w:t>
      </w:r>
      <w:r w:rsidRPr="0062344B">
        <w:rPr>
          <w:rFonts w:ascii="Trebuchet MS" w:eastAsia="Times New Roman" w:hAnsi="Trebuchet MS" w:cs="Arial"/>
          <w:color w:val="000000"/>
          <w:sz w:val="24"/>
          <w:szCs w:val="24"/>
          <w:bdr w:val="none" w:sz="0" w:space="0" w:color="auto" w:frame="1"/>
        </w:rPr>
        <w:t>Poster session during a reception allowing all participants to visit posters and discuss content with presenters. We especially encourage students to submit posters on their emerging and applied research.</w:t>
      </w:r>
    </w:p>
    <w:p w14:paraId="53BF78C3" w14:textId="77777777" w:rsidR="0062344B" w:rsidRPr="0062344B" w:rsidRDefault="0062344B" w:rsidP="0062344B">
      <w:pPr>
        <w:spacing w:after="0" w:line="240" w:lineRule="auto"/>
        <w:rPr>
          <w:rFonts w:ascii="Trebuchet MS" w:eastAsia="Times New Roman" w:hAnsi="Trebuchet MS" w:cs="Arial"/>
          <w:color w:val="000000"/>
          <w:sz w:val="24"/>
          <w:szCs w:val="24"/>
        </w:rPr>
      </w:pPr>
    </w:p>
    <w:p w14:paraId="7388A6A1" w14:textId="77777777" w:rsidR="0062344B" w:rsidRPr="0062344B" w:rsidRDefault="0062344B" w:rsidP="0062344B">
      <w:pPr>
        <w:spacing w:after="0" w:line="240" w:lineRule="auto"/>
        <w:rPr>
          <w:rFonts w:ascii="Trebuchet MS" w:eastAsia="Times New Roman" w:hAnsi="Trebuchet MS" w:cs="Arial"/>
          <w:color w:val="000000"/>
          <w:sz w:val="24"/>
          <w:szCs w:val="24"/>
        </w:rPr>
      </w:pPr>
      <w:r w:rsidRPr="0062344B">
        <w:rPr>
          <w:rFonts w:ascii="Trebuchet MS" w:eastAsia="Times New Roman" w:hAnsi="Trebuchet MS" w:cs="Arial"/>
          <w:b/>
          <w:bCs/>
          <w:color w:val="000000"/>
          <w:sz w:val="24"/>
          <w:szCs w:val="24"/>
          <w:bdr w:val="none" w:sz="0" w:space="0" w:color="auto" w:frame="1"/>
        </w:rPr>
        <w:t>Speaker Registration and Travel:</w:t>
      </w:r>
      <w:r w:rsidRPr="0062344B">
        <w:rPr>
          <w:rFonts w:ascii="Trebuchet MS" w:eastAsia="Times New Roman" w:hAnsi="Trebuchet MS" w:cs="Arial"/>
          <w:color w:val="000000"/>
          <w:sz w:val="24"/>
          <w:szCs w:val="24"/>
          <w:bdr w:val="none" w:sz="0" w:space="0" w:color="auto" w:frame="1"/>
        </w:rPr>
        <w:t> All speakers will receive complimentary registration and travel support, including coverage for round trip airfare, hotel nights, per diem meals, and ground transportation. For workshops and breakout presentations, up to two speakers’ costs will be covered. For roundtables and posters, one speaker’s costs will be covered.</w:t>
      </w:r>
    </w:p>
    <w:p w14:paraId="5C6D6DDD" w14:textId="77777777" w:rsidR="000470B0" w:rsidRDefault="000470B0" w:rsidP="000470B0">
      <w:pPr>
        <w:spacing w:after="0" w:line="240" w:lineRule="auto"/>
        <w:rPr>
          <w:rFonts w:ascii="Calibri" w:eastAsia="Calibri" w:hAnsi="Calibri" w:cs="Calibri"/>
          <w:b/>
          <w:bCs/>
        </w:rPr>
      </w:pPr>
    </w:p>
    <w:p w14:paraId="6D1CAF65" w14:textId="77777777" w:rsidR="000470B0" w:rsidRPr="000470B0" w:rsidRDefault="000470B0" w:rsidP="000470B0">
      <w:pPr>
        <w:spacing w:after="0" w:line="240" w:lineRule="auto"/>
        <w:rPr>
          <w:rFonts w:ascii="Calibri" w:eastAsia="Calibri" w:hAnsi="Calibri" w:cs="Calibri"/>
        </w:rPr>
      </w:pPr>
      <w:r w:rsidRPr="000470B0">
        <w:rPr>
          <w:rFonts w:ascii="Calibri" w:eastAsia="Calibri" w:hAnsi="Calibri" w:cs="Calibri"/>
          <w:b/>
          <w:bCs/>
        </w:rPr>
        <w:t>Speaker Registration and Travel:</w:t>
      </w:r>
      <w:r w:rsidRPr="000470B0">
        <w:rPr>
          <w:rFonts w:ascii="Calibri" w:eastAsia="Calibri" w:hAnsi="Calibri" w:cs="Calibri"/>
        </w:rPr>
        <w:t xml:space="preserve"> All speakers will receive complimentary registration and travel support, including coverage for round trip airfare, hotel nights, per diem meals, and ground transportation. For workshops and breakout presentations, up to two speakers’ costs will be covered. For roundtables and posters, one speaker’s costs will be covered.</w:t>
      </w:r>
    </w:p>
    <w:p w14:paraId="0081960E" w14:textId="77777777" w:rsidR="000470B0" w:rsidRPr="000470B0" w:rsidRDefault="000470B0" w:rsidP="000470B0">
      <w:pPr>
        <w:spacing w:after="0" w:line="240" w:lineRule="auto"/>
        <w:rPr>
          <w:rFonts w:ascii="Calibri" w:eastAsia="Calibri" w:hAnsi="Calibri" w:cs="Calibri"/>
        </w:rPr>
      </w:pPr>
      <w:r w:rsidRPr="000470B0">
        <w:rPr>
          <w:rFonts w:ascii="Calibri" w:eastAsia="Calibri" w:hAnsi="Calibri" w:cs="Calibri"/>
          <w:b/>
          <w:bCs/>
        </w:rPr>
        <w:t>Presentation Track:</w:t>
      </w:r>
      <w:r w:rsidRPr="000470B0">
        <w:rPr>
          <w:rFonts w:ascii="Calibri" w:eastAsia="Calibri" w:hAnsi="Calibri" w:cs="Calibri"/>
        </w:rPr>
        <w:t xml:space="preserve"> Advancing and Renewing the Public Health Workforce - This track focuses on strategies for strengthening and revitalizing the workforce. Sessions may cover workforce development, innovative staffing models, diversity and inclusion, leadership, wellness and mental health support, and more.  </w:t>
      </w:r>
    </w:p>
    <w:p w14:paraId="06663AFB" w14:textId="77777777" w:rsidR="000470B0" w:rsidRPr="000470B0" w:rsidRDefault="000470B0" w:rsidP="000470B0">
      <w:pPr>
        <w:spacing w:after="0" w:line="240" w:lineRule="auto"/>
        <w:rPr>
          <w:rFonts w:ascii="Calibri" w:eastAsia="Calibri" w:hAnsi="Calibri" w:cs="Calibri"/>
        </w:rPr>
      </w:pPr>
      <w:r w:rsidRPr="000470B0">
        <w:rPr>
          <w:rFonts w:ascii="Calibri" w:eastAsia="Calibri" w:hAnsi="Calibri" w:cs="Calibri"/>
          <w:b/>
          <w:bCs/>
        </w:rPr>
        <w:t>Presentation Format:</w:t>
      </w:r>
      <w:r w:rsidRPr="000470B0">
        <w:rPr>
          <w:rFonts w:ascii="Calibri" w:eastAsia="Calibri" w:hAnsi="Calibri" w:cs="Calibri"/>
        </w:rPr>
        <w:t xml:space="preserve"> 30-minute breakout sessions with up to six sessions happening concurrently. Presenter(s) should prepare 20 minutes maximum of content and then allow time for engaging the audience with Q&amp;A and discussion.</w:t>
      </w:r>
    </w:p>
    <w:p w14:paraId="1AF162E3" w14:textId="77777777" w:rsidR="0062344B" w:rsidRDefault="0062344B">
      <w:r>
        <w:br w:type="page"/>
      </w:r>
    </w:p>
    <w:p w14:paraId="396B6A2D" w14:textId="77777777" w:rsidR="000470B0" w:rsidRDefault="000470B0" w:rsidP="000470B0">
      <w:pPr>
        <w:rPr>
          <w:rFonts w:ascii="Arial" w:hAnsi="Arial" w:cs="Arial"/>
          <w:i/>
          <w:iCs/>
          <w:color w:val="000000"/>
          <w:sz w:val="24"/>
          <w:szCs w:val="24"/>
        </w:rPr>
      </w:pPr>
      <w:r>
        <w:rPr>
          <w:color w:val="000000"/>
          <w:sz w:val="28"/>
          <w:szCs w:val="28"/>
        </w:rPr>
        <w:lastRenderedPageBreak/>
        <w:t xml:space="preserve">Title: </w:t>
      </w:r>
      <w:r>
        <w:rPr>
          <w:i/>
          <w:iCs/>
          <w:color w:val="000000"/>
          <w:sz w:val="28"/>
          <w:szCs w:val="28"/>
        </w:rPr>
        <w:t>Building a Stronger Public Health Workforce: Equipping Current and Future Leaders</w:t>
      </w:r>
    </w:p>
    <w:p w14:paraId="68D51461" w14:textId="77777777" w:rsidR="000470B0" w:rsidRDefault="000470B0" w:rsidP="000470B0"/>
    <w:p w14:paraId="517BAF18" w14:textId="77777777" w:rsidR="000470B0" w:rsidRDefault="000470B0" w:rsidP="000470B0"/>
    <w:p w14:paraId="10F90E1A" w14:textId="77777777" w:rsidR="000470B0" w:rsidRPr="000470B0" w:rsidRDefault="000470B0" w:rsidP="000470B0">
      <w:r w:rsidRPr="000470B0">
        <w:t>Public Health is the backbone of any society's ability to prevent disease, promote health, and protect communities by responding effectively to emerging challenges. However, the public health workforce is facing unprecedented times. Post-pandemic burnout, exodus of long term staff with c</w:t>
      </w:r>
      <w:r>
        <w:t>ritical institutional knowledge</w:t>
      </w:r>
      <w:r w:rsidRPr="000470B0">
        <w:t>, and the increased demand for services and community engagement have heightened the essential need to address the shortage of prepared leaders within our field.</w:t>
      </w:r>
    </w:p>
    <w:p w14:paraId="3D9EC1E1" w14:textId="77777777" w:rsidR="000470B0" w:rsidRPr="000470B0" w:rsidRDefault="000470B0" w:rsidP="000470B0">
      <w:r w:rsidRPr="000470B0">
        <w:t>In this session, attendees will learn how Fort Bend County Health &amp; Human Services (FBCHHS) is using a multifaceted approach to invest in public health leadership development. FBCHHS will share organizational changes introduced to support workforce development to transform individuals and empower leaders. Through onboarding re-structuring, book clubs, lunch n’ learns, and discussion groups as well as 1:1 mentoring and support, FBCHHS is creating a leadership pipeline and strengthening its leadership team.</w:t>
      </w:r>
    </w:p>
    <w:p w14:paraId="0E80A4B1" w14:textId="77777777" w:rsidR="000470B0" w:rsidRDefault="000470B0" w:rsidP="000470B0">
      <w:r>
        <w:t xml:space="preserve">Participants will take away concrete examples of how to improve and increase leadership and management skills within their organizations with the use of limited resources. Participants will learn how by implementing a monthly book club, they can increase awareness about and address equity and bias. </w:t>
      </w:r>
    </w:p>
    <w:p w14:paraId="783AC681" w14:textId="77777777" w:rsidR="00ED5412" w:rsidRDefault="000470B0" w:rsidP="000470B0">
      <w:r>
        <w:t>The session will be interactive by encouraging participants to</w:t>
      </w:r>
      <w:r w:rsidRPr="000470B0">
        <w:t xml:space="preserve"> </w:t>
      </w:r>
      <w:r>
        <w:t xml:space="preserve">share their </w:t>
      </w:r>
      <w:r w:rsidRPr="000470B0">
        <w:t>experiences, ask questions, and actively engage to make the most out of this unique learning opportunity.</w:t>
      </w:r>
    </w:p>
    <w:p w14:paraId="01DE4983" w14:textId="77777777" w:rsidR="000470B0" w:rsidRDefault="000470B0" w:rsidP="000470B0"/>
    <w:p w14:paraId="47B6E9CD" w14:textId="77777777" w:rsidR="000470B0" w:rsidRDefault="000470B0" w:rsidP="000470B0"/>
    <w:p w14:paraId="4F3434B1" w14:textId="77777777" w:rsidR="000470B0" w:rsidRDefault="000470B0" w:rsidP="000470B0"/>
    <w:p w14:paraId="20D64544" w14:textId="77777777" w:rsidR="000470B0" w:rsidRPr="000470B0" w:rsidRDefault="000470B0" w:rsidP="000470B0">
      <w:r w:rsidRPr="000470B0">
        <w:t>Public Health is the backbone of any societ</w:t>
      </w:r>
      <w:r w:rsidR="00857169">
        <w:t xml:space="preserve">y's ability to prevent disease and </w:t>
      </w:r>
      <w:r w:rsidRPr="000470B0">
        <w:t>promote health. However, the public health workforce is facing unprecedented times. Post-pandemic burnout, exodus of long term staff with c</w:t>
      </w:r>
      <w:r>
        <w:t>ritical institutional knowledge</w:t>
      </w:r>
      <w:r w:rsidR="00857169">
        <w:t xml:space="preserve">, and </w:t>
      </w:r>
      <w:r w:rsidRPr="000470B0">
        <w:t>i</w:t>
      </w:r>
      <w:r w:rsidR="00C00D73">
        <w:t>ncreased demand for services and</w:t>
      </w:r>
      <w:r w:rsidRPr="000470B0">
        <w:t xml:space="preserve"> community engagement have heightened the need to address the shortage of prepared leaders within our field.</w:t>
      </w:r>
      <w:r w:rsidR="00857169">
        <w:t xml:space="preserve"> </w:t>
      </w:r>
      <w:r w:rsidRPr="000470B0">
        <w:t>In this session, attendees will learn how</w:t>
      </w:r>
      <w:r w:rsidR="00C00D73">
        <w:t xml:space="preserve"> </w:t>
      </w:r>
      <w:r w:rsidRPr="000470B0">
        <w:t xml:space="preserve">Fort Bend County Health &amp; Human Services (FBCHHS) is using a multifaceted approach to invest in public health leadership development. FBCHHS will share </w:t>
      </w:r>
      <w:r w:rsidR="00857169">
        <w:t>how through onboarding</w:t>
      </w:r>
      <w:r w:rsidRPr="000470B0">
        <w:t xml:space="preserve">, </w:t>
      </w:r>
      <w:r w:rsidR="00C00D73">
        <w:t>book clubs, lunch n’ learns, discussion groups,</w:t>
      </w:r>
      <w:r w:rsidRPr="000470B0">
        <w:t xml:space="preserve"> 1:1 mentoring and support, FBCHHS is</w:t>
      </w:r>
      <w:r w:rsidR="00857169">
        <w:t xml:space="preserve"> empowering leaders, </w:t>
      </w:r>
      <w:r w:rsidRPr="000470B0">
        <w:t>creating a leadership pipeline</w:t>
      </w:r>
      <w:r w:rsidR="00857169">
        <w:t>,</w:t>
      </w:r>
      <w:r w:rsidRPr="000470B0">
        <w:t xml:space="preserve"> and strengthening its leadership team.</w:t>
      </w:r>
    </w:p>
    <w:p w14:paraId="572C08CF" w14:textId="77777777" w:rsidR="00ED5412" w:rsidRDefault="00ED5412"/>
    <w:sectPr w:rsidR="00ED5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811C5"/>
    <w:multiLevelType w:val="multilevel"/>
    <w:tmpl w:val="E3D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C2F50"/>
    <w:multiLevelType w:val="multilevel"/>
    <w:tmpl w:val="AAF4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01264">
    <w:abstractNumId w:val="0"/>
  </w:num>
  <w:num w:numId="2" w16cid:durableId="67561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4B"/>
    <w:rsid w:val="000470B0"/>
    <w:rsid w:val="00181867"/>
    <w:rsid w:val="002D01B1"/>
    <w:rsid w:val="0062344B"/>
    <w:rsid w:val="0074706A"/>
    <w:rsid w:val="00855900"/>
    <w:rsid w:val="00857169"/>
    <w:rsid w:val="00A07649"/>
    <w:rsid w:val="00BA07F1"/>
    <w:rsid w:val="00C00D73"/>
    <w:rsid w:val="00ED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6358"/>
  <w15:chartTrackingRefBased/>
  <w15:docId w15:val="{547E3D5D-A59B-43E2-9A3F-1C3E2D11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83436">
      <w:bodyDiv w:val="1"/>
      <w:marLeft w:val="0"/>
      <w:marRight w:val="0"/>
      <w:marTop w:val="0"/>
      <w:marBottom w:val="0"/>
      <w:divBdr>
        <w:top w:val="none" w:sz="0" w:space="0" w:color="auto"/>
        <w:left w:val="none" w:sz="0" w:space="0" w:color="auto"/>
        <w:bottom w:val="none" w:sz="0" w:space="0" w:color="auto"/>
        <w:right w:val="none" w:sz="0" w:space="0" w:color="auto"/>
      </w:divBdr>
    </w:div>
    <w:div w:id="1596285875">
      <w:bodyDiv w:val="1"/>
      <w:marLeft w:val="0"/>
      <w:marRight w:val="0"/>
      <w:marTop w:val="0"/>
      <w:marBottom w:val="0"/>
      <w:divBdr>
        <w:top w:val="none" w:sz="0" w:space="0" w:color="auto"/>
        <w:left w:val="none" w:sz="0" w:space="0" w:color="auto"/>
        <w:bottom w:val="none" w:sz="0" w:space="0" w:color="auto"/>
        <w:right w:val="none" w:sz="0" w:space="0" w:color="auto"/>
      </w:divBdr>
      <w:divsChild>
        <w:div w:id="318123066">
          <w:marLeft w:val="0"/>
          <w:marRight w:val="0"/>
          <w:marTop w:val="0"/>
          <w:marBottom w:val="0"/>
          <w:divBdr>
            <w:top w:val="none" w:sz="0" w:space="0" w:color="auto"/>
            <w:left w:val="none" w:sz="0" w:space="0" w:color="auto"/>
            <w:bottom w:val="none" w:sz="0" w:space="0" w:color="auto"/>
            <w:right w:val="none" w:sz="0" w:space="0" w:color="auto"/>
          </w:divBdr>
          <w:divsChild>
            <w:div w:id="1784184471">
              <w:marLeft w:val="0"/>
              <w:marRight w:val="0"/>
              <w:marTop w:val="0"/>
              <w:marBottom w:val="0"/>
              <w:divBdr>
                <w:top w:val="none" w:sz="0" w:space="0" w:color="auto"/>
                <w:left w:val="none" w:sz="0" w:space="0" w:color="auto"/>
                <w:bottom w:val="none" w:sz="0" w:space="0" w:color="auto"/>
                <w:right w:val="none" w:sz="0" w:space="0" w:color="auto"/>
              </w:divBdr>
              <w:divsChild>
                <w:div w:id="18792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1752">
          <w:marLeft w:val="0"/>
          <w:marRight w:val="0"/>
          <w:marTop w:val="0"/>
          <w:marBottom w:val="0"/>
          <w:divBdr>
            <w:top w:val="none" w:sz="0" w:space="0" w:color="auto"/>
            <w:left w:val="none" w:sz="0" w:space="0" w:color="auto"/>
            <w:bottom w:val="none" w:sz="0" w:space="0" w:color="auto"/>
            <w:right w:val="none" w:sz="0" w:space="0" w:color="auto"/>
          </w:divBdr>
          <w:divsChild>
            <w:div w:id="575362664">
              <w:marLeft w:val="0"/>
              <w:marRight w:val="0"/>
              <w:marTop w:val="0"/>
              <w:marBottom w:val="0"/>
              <w:divBdr>
                <w:top w:val="none" w:sz="0" w:space="0" w:color="auto"/>
                <w:left w:val="none" w:sz="0" w:space="0" w:color="auto"/>
                <w:bottom w:val="none" w:sz="0" w:space="0" w:color="auto"/>
                <w:right w:val="none" w:sz="0" w:space="0" w:color="auto"/>
              </w:divBdr>
              <w:divsChild>
                <w:div w:id="2119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2435">
      <w:bodyDiv w:val="1"/>
      <w:marLeft w:val="0"/>
      <w:marRight w:val="0"/>
      <w:marTop w:val="0"/>
      <w:marBottom w:val="0"/>
      <w:divBdr>
        <w:top w:val="none" w:sz="0" w:space="0" w:color="auto"/>
        <w:left w:val="none" w:sz="0" w:space="0" w:color="auto"/>
        <w:bottom w:val="none" w:sz="0" w:space="0" w:color="auto"/>
        <w:right w:val="none" w:sz="0" w:space="0" w:color="auto"/>
      </w:divBdr>
      <w:divsChild>
        <w:div w:id="265582941">
          <w:marLeft w:val="0"/>
          <w:marRight w:val="0"/>
          <w:marTop w:val="0"/>
          <w:marBottom w:val="0"/>
          <w:divBdr>
            <w:top w:val="none" w:sz="0" w:space="0" w:color="auto"/>
            <w:left w:val="none" w:sz="0" w:space="0" w:color="auto"/>
            <w:bottom w:val="none" w:sz="0" w:space="0" w:color="auto"/>
            <w:right w:val="none" w:sz="0" w:space="0" w:color="auto"/>
          </w:divBdr>
          <w:divsChild>
            <w:div w:id="404959826">
              <w:marLeft w:val="0"/>
              <w:marRight w:val="0"/>
              <w:marTop w:val="0"/>
              <w:marBottom w:val="0"/>
              <w:divBdr>
                <w:top w:val="none" w:sz="0" w:space="0" w:color="auto"/>
                <w:left w:val="none" w:sz="0" w:space="0" w:color="auto"/>
                <w:bottom w:val="none" w:sz="0" w:space="0" w:color="auto"/>
                <w:right w:val="none" w:sz="0" w:space="0" w:color="auto"/>
              </w:divBdr>
            </w:div>
          </w:divsChild>
        </w:div>
        <w:div w:id="1128206640">
          <w:marLeft w:val="0"/>
          <w:marRight w:val="0"/>
          <w:marTop w:val="0"/>
          <w:marBottom w:val="0"/>
          <w:divBdr>
            <w:top w:val="none" w:sz="0" w:space="0" w:color="auto"/>
            <w:left w:val="none" w:sz="0" w:space="0" w:color="auto"/>
            <w:bottom w:val="none" w:sz="0" w:space="0" w:color="auto"/>
            <w:right w:val="none" w:sz="0" w:space="0" w:color="auto"/>
          </w:divBdr>
          <w:divsChild>
            <w:div w:id="1330405728">
              <w:marLeft w:val="0"/>
              <w:marRight w:val="0"/>
              <w:marTop w:val="0"/>
              <w:marBottom w:val="0"/>
              <w:divBdr>
                <w:top w:val="none" w:sz="0" w:space="0" w:color="auto"/>
                <w:left w:val="none" w:sz="0" w:space="0" w:color="auto"/>
                <w:bottom w:val="none" w:sz="0" w:space="0" w:color="auto"/>
                <w:right w:val="none" w:sz="0" w:space="0" w:color="auto"/>
              </w:divBdr>
              <w:divsChild>
                <w:div w:id="1343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5480">
      <w:bodyDiv w:val="1"/>
      <w:marLeft w:val="0"/>
      <w:marRight w:val="0"/>
      <w:marTop w:val="0"/>
      <w:marBottom w:val="0"/>
      <w:divBdr>
        <w:top w:val="none" w:sz="0" w:space="0" w:color="auto"/>
        <w:left w:val="none" w:sz="0" w:space="0" w:color="auto"/>
        <w:bottom w:val="none" w:sz="0" w:space="0" w:color="auto"/>
        <w:right w:val="none" w:sz="0" w:space="0" w:color="auto"/>
      </w:divBdr>
    </w:div>
    <w:div w:id="2013412454">
      <w:bodyDiv w:val="1"/>
      <w:marLeft w:val="0"/>
      <w:marRight w:val="0"/>
      <w:marTop w:val="0"/>
      <w:marBottom w:val="0"/>
      <w:divBdr>
        <w:top w:val="none" w:sz="0" w:space="0" w:color="auto"/>
        <w:left w:val="none" w:sz="0" w:space="0" w:color="auto"/>
        <w:bottom w:val="none" w:sz="0" w:space="0" w:color="auto"/>
        <w:right w:val="none" w:sz="0" w:space="0" w:color="auto"/>
      </w:divBdr>
    </w:div>
    <w:div w:id="2132311568">
      <w:bodyDiv w:val="1"/>
      <w:marLeft w:val="0"/>
      <w:marRight w:val="0"/>
      <w:marTop w:val="0"/>
      <w:marBottom w:val="0"/>
      <w:divBdr>
        <w:top w:val="none" w:sz="0" w:space="0" w:color="auto"/>
        <w:left w:val="none" w:sz="0" w:space="0" w:color="auto"/>
        <w:bottom w:val="none" w:sz="0" w:space="0" w:color="auto"/>
        <w:right w:val="none" w:sz="0" w:space="0" w:color="auto"/>
      </w:divBdr>
      <w:divsChild>
        <w:div w:id="535316036">
          <w:marLeft w:val="0"/>
          <w:marRight w:val="0"/>
          <w:marTop w:val="0"/>
          <w:marBottom w:val="0"/>
          <w:divBdr>
            <w:top w:val="none" w:sz="0" w:space="0" w:color="auto"/>
            <w:left w:val="none" w:sz="0" w:space="0" w:color="auto"/>
            <w:bottom w:val="none" w:sz="0" w:space="0" w:color="auto"/>
            <w:right w:val="none" w:sz="0" w:space="0" w:color="auto"/>
          </w:divBdr>
          <w:divsChild>
            <w:div w:id="831800689">
              <w:marLeft w:val="0"/>
              <w:marRight w:val="0"/>
              <w:marTop w:val="0"/>
              <w:marBottom w:val="0"/>
              <w:divBdr>
                <w:top w:val="none" w:sz="0" w:space="0" w:color="auto"/>
                <w:left w:val="none" w:sz="0" w:space="0" w:color="auto"/>
                <w:bottom w:val="none" w:sz="0" w:space="0" w:color="auto"/>
                <w:right w:val="none" w:sz="0" w:space="0" w:color="auto"/>
              </w:divBdr>
              <w:divsChild>
                <w:div w:id="4624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41445">
          <w:marLeft w:val="0"/>
          <w:marRight w:val="0"/>
          <w:marTop w:val="0"/>
          <w:marBottom w:val="0"/>
          <w:divBdr>
            <w:top w:val="none" w:sz="0" w:space="0" w:color="auto"/>
            <w:left w:val="none" w:sz="0" w:space="0" w:color="auto"/>
            <w:bottom w:val="none" w:sz="0" w:space="0" w:color="auto"/>
            <w:right w:val="none" w:sz="0" w:space="0" w:color="auto"/>
          </w:divBdr>
          <w:divsChild>
            <w:div w:id="539704460">
              <w:marLeft w:val="0"/>
              <w:marRight w:val="0"/>
              <w:marTop w:val="0"/>
              <w:marBottom w:val="0"/>
              <w:divBdr>
                <w:top w:val="none" w:sz="0" w:space="0" w:color="auto"/>
                <w:left w:val="none" w:sz="0" w:space="0" w:color="auto"/>
                <w:bottom w:val="none" w:sz="0" w:space="0" w:color="auto"/>
                <w:right w:val="none" w:sz="0" w:space="0" w:color="auto"/>
              </w:divBdr>
              <w:divsChild>
                <w:div w:id="7271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Carrie</dc:creator>
  <cp:keywords/>
  <dc:description/>
  <cp:lastModifiedBy>Morales, Josie</cp:lastModifiedBy>
  <cp:revision>2</cp:revision>
  <dcterms:created xsi:type="dcterms:W3CDTF">2023-08-07T17:01:00Z</dcterms:created>
  <dcterms:modified xsi:type="dcterms:W3CDTF">2023-08-07T17:01:00Z</dcterms:modified>
</cp:coreProperties>
</file>