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6" w:rsidRPr="00500D0F" w:rsidRDefault="001E5826" w:rsidP="001E5826">
      <w:pPr>
        <w:spacing w:before="29"/>
        <w:ind w:left="192" w:right="303"/>
        <w:jc w:val="center"/>
        <w:rPr>
          <w:rFonts w:ascii="Times New Roman" w:eastAsia="Times New Roman" w:hAnsi="Times New Roman" w:cs="Times New Roman"/>
        </w:rPr>
      </w:pPr>
      <w:r w:rsidRPr="00500D0F">
        <w:rPr>
          <w:rFonts w:ascii="Times New Roman" w:hAnsi="Times New Roman" w:cs="Times New Roman"/>
          <w:b/>
          <w:color w:val="2D2D2D"/>
        </w:rPr>
        <w:t>FORT BEND COUNTY RESOLUTION</w:t>
      </w:r>
    </w:p>
    <w:p w:rsidR="00994292" w:rsidRDefault="00994292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w w:val="105"/>
        </w:rPr>
      </w:pPr>
    </w:p>
    <w:p w:rsidR="001B242D" w:rsidRDefault="001E5826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spacing w:val="-29"/>
          <w:w w:val="105"/>
        </w:rPr>
      </w:pPr>
      <w:r w:rsidRPr="006A1622">
        <w:rPr>
          <w:rFonts w:ascii="Times New Roman" w:hAnsi="Times New Roman" w:cs="Times New Roman"/>
          <w:color w:val="2D2D2D"/>
          <w:w w:val="105"/>
        </w:rPr>
        <w:t>IN</w:t>
      </w:r>
      <w:r w:rsidRPr="006A1622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SUPPORT</w:t>
      </w:r>
      <w:r w:rsidRPr="006A1622">
        <w:rPr>
          <w:rFonts w:ascii="Times New Roman" w:hAnsi="Times New Roman" w:cs="Times New Roman"/>
          <w:color w:val="2D2D2D"/>
          <w:spacing w:val="-10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OF</w:t>
      </w:r>
      <w:r w:rsidRPr="006A1622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</w:p>
    <w:p w:rsidR="001B242D" w:rsidRPr="00CE2182" w:rsidRDefault="001B242D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b/>
          <w:color w:val="2D2D2D"/>
          <w:spacing w:val="-29"/>
          <w:w w:val="105"/>
        </w:rPr>
      </w:pPr>
      <w:r w:rsidRPr="00CE2182">
        <w:rPr>
          <w:rFonts w:ascii="Times New Roman" w:hAnsi="Times New Roman" w:cs="Times New Roman"/>
          <w:b/>
          <w:color w:val="2D2D2D"/>
          <w:w w:val="105"/>
        </w:rPr>
        <w:t>ALLOWING COMMUNITIES IN HOUSTON’S EXTRA-TERRITORIAL JURISDICTION TO PETITION FOR DETACHMENT</w:t>
      </w:r>
    </w:p>
    <w:p w:rsidR="001E5826" w:rsidRPr="006A1622" w:rsidRDefault="001E5826" w:rsidP="001E5826">
      <w:pPr>
        <w:spacing w:before="8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BodyText"/>
        <w:spacing w:line="244" w:lineRule="auto"/>
        <w:ind w:right="-50" w:firstLine="4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2D2D2D"/>
          <w:sz w:val="22"/>
          <w:szCs w:val="22"/>
        </w:rPr>
        <w:tab/>
      </w:r>
      <w:r w:rsidRPr="00C254DB">
        <w:rPr>
          <w:rFonts w:cs="Times New Roman"/>
          <w:b/>
          <w:sz w:val="22"/>
          <w:szCs w:val="22"/>
        </w:rPr>
        <w:t>WHEREAS</w:t>
      </w:r>
      <w:r w:rsidRPr="00C254DB">
        <w:rPr>
          <w:rFonts w:cs="Times New Roman"/>
          <w:sz w:val="22"/>
          <w:szCs w:val="22"/>
        </w:rPr>
        <w:t>,</w:t>
      </w:r>
      <w:r w:rsidRPr="00C254DB">
        <w:rPr>
          <w:rFonts w:cs="Times New Roman"/>
          <w:spacing w:val="54"/>
          <w:sz w:val="22"/>
          <w:szCs w:val="22"/>
        </w:rPr>
        <w:t xml:space="preserve"> </w:t>
      </w:r>
      <w:r w:rsidR="001B242D" w:rsidRPr="00C254DB">
        <w:rPr>
          <w:rFonts w:cs="Times New Roman"/>
          <w:sz w:val="22"/>
          <w:szCs w:val="22"/>
        </w:rPr>
        <w:t xml:space="preserve">The City of Houston has a large and highly populated extra-territorial jurisdiction </w:t>
      </w:r>
      <w:r w:rsidR="00FD02B3" w:rsidRPr="00C254DB">
        <w:rPr>
          <w:rFonts w:cs="Times New Roman"/>
          <w:sz w:val="22"/>
          <w:szCs w:val="22"/>
        </w:rPr>
        <w:t xml:space="preserve">(ETJ) </w:t>
      </w:r>
      <w:r w:rsidR="001B242D" w:rsidRPr="00C254DB">
        <w:rPr>
          <w:rFonts w:cs="Times New Roman"/>
          <w:sz w:val="22"/>
          <w:szCs w:val="22"/>
        </w:rPr>
        <w:t>located in Fort Bend County</w:t>
      </w:r>
      <w:r w:rsidRPr="00C254DB">
        <w:rPr>
          <w:rFonts w:cs="Times New Roman"/>
          <w:sz w:val="22"/>
          <w:szCs w:val="22"/>
        </w:rPr>
        <w:t>;</w:t>
      </w:r>
      <w:r w:rsidRPr="00C254DB">
        <w:rPr>
          <w:rFonts w:cs="Times New Roman"/>
          <w:spacing w:val="13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and</w:t>
      </w:r>
    </w:p>
    <w:p w:rsidR="001E5826" w:rsidRPr="00C254DB" w:rsidRDefault="001E5826" w:rsidP="001E5826">
      <w:pPr>
        <w:spacing w:before="9"/>
        <w:jc w:val="both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BodyText"/>
        <w:spacing w:line="250" w:lineRule="auto"/>
        <w:ind w:left="106" w:right="-50"/>
        <w:jc w:val="both"/>
        <w:rPr>
          <w:rFonts w:cs="Times New Roman"/>
          <w:sz w:val="22"/>
          <w:szCs w:val="22"/>
        </w:rPr>
      </w:pP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b/>
          <w:sz w:val="22"/>
          <w:szCs w:val="22"/>
        </w:rPr>
        <w:t>WHEREAS</w:t>
      </w:r>
      <w:r w:rsidRPr="00C254DB">
        <w:rPr>
          <w:rFonts w:cs="Times New Roman"/>
          <w:sz w:val="22"/>
          <w:szCs w:val="22"/>
        </w:rPr>
        <w:t xml:space="preserve">, </w:t>
      </w:r>
      <w:r w:rsidR="001B242D" w:rsidRPr="00C254DB">
        <w:rPr>
          <w:rFonts w:cs="Times New Roman"/>
          <w:sz w:val="22"/>
          <w:szCs w:val="22"/>
        </w:rPr>
        <w:t>The City of Houston is limited in their annexation authority</w:t>
      </w:r>
      <w:r w:rsidR="00FD02B3" w:rsidRPr="00C254DB">
        <w:rPr>
          <w:rFonts w:cs="Times New Roman"/>
          <w:sz w:val="22"/>
          <w:szCs w:val="22"/>
        </w:rPr>
        <w:t>,</w:t>
      </w:r>
      <w:r w:rsidR="001B242D" w:rsidRPr="00C254DB">
        <w:rPr>
          <w:rFonts w:cs="Times New Roman"/>
          <w:sz w:val="22"/>
          <w:szCs w:val="22"/>
        </w:rPr>
        <w:t xml:space="preserve"> </w:t>
      </w:r>
      <w:r w:rsidR="00FD02B3" w:rsidRPr="00C254DB">
        <w:rPr>
          <w:rFonts w:cs="Times New Roman"/>
          <w:sz w:val="22"/>
          <w:szCs w:val="22"/>
        </w:rPr>
        <w:t xml:space="preserve">within a county with a population the size of Fort Bend County, </w:t>
      </w:r>
      <w:r w:rsidR="001B242D" w:rsidRPr="00C254DB">
        <w:rPr>
          <w:rFonts w:cs="Times New Roman"/>
          <w:sz w:val="22"/>
          <w:szCs w:val="22"/>
        </w:rPr>
        <w:t xml:space="preserve">due to the passage of Senate Bill 6 in the 2017 Special Session, making annexation of any populated ETJ </w:t>
      </w:r>
      <w:r w:rsidR="00FD02B3" w:rsidRPr="00C254DB">
        <w:rPr>
          <w:rFonts w:cs="Times New Roman"/>
          <w:sz w:val="22"/>
          <w:szCs w:val="22"/>
        </w:rPr>
        <w:t xml:space="preserve">in Fort Bend County </w:t>
      </w:r>
      <w:r w:rsidR="001B242D" w:rsidRPr="00C254DB">
        <w:rPr>
          <w:rFonts w:cs="Times New Roman"/>
          <w:sz w:val="22"/>
          <w:szCs w:val="22"/>
        </w:rPr>
        <w:t>nearly impossible</w:t>
      </w:r>
      <w:r w:rsidRPr="00C254DB">
        <w:rPr>
          <w:rFonts w:cs="Times New Roman"/>
          <w:sz w:val="22"/>
          <w:szCs w:val="22"/>
        </w:rPr>
        <w:t>;</w:t>
      </w:r>
      <w:r w:rsidRPr="00C254DB">
        <w:rPr>
          <w:rFonts w:cs="Times New Roman"/>
          <w:spacing w:val="17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and</w:t>
      </w:r>
    </w:p>
    <w:p w:rsidR="001E5826" w:rsidRPr="00C254DB" w:rsidRDefault="001E5826" w:rsidP="001E5826">
      <w:pPr>
        <w:spacing w:before="4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BodyText"/>
        <w:spacing w:line="244" w:lineRule="auto"/>
        <w:ind w:left="110" w:right="-50" w:hanging="5"/>
        <w:jc w:val="both"/>
        <w:rPr>
          <w:rFonts w:cs="Times New Roman"/>
          <w:sz w:val="22"/>
          <w:szCs w:val="22"/>
        </w:rPr>
      </w:pP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b/>
          <w:sz w:val="22"/>
          <w:szCs w:val="22"/>
        </w:rPr>
        <w:t>WHEREAS</w:t>
      </w:r>
      <w:r w:rsidRPr="00C254DB">
        <w:rPr>
          <w:rFonts w:cs="Times New Roman"/>
          <w:sz w:val="22"/>
          <w:szCs w:val="22"/>
        </w:rPr>
        <w:t>,</w:t>
      </w:r>
      <w:r w:rsidRPr="00C254DB">
        <w:rPr>
          <w:rFonts w:cs="Times New Roman"/>
          <w:spacing w:val="50"/>
          <w:sz w:val="22"/>
          <w:szCs w:val="22"/>
        </w:rPr>
        <w:t xml:space="preserve"> </w:t>
      </w:r>
      <w:r w:rsidR="001B242D" w:rsidRPr="00C254DB">
        <w:rPr>
          <w:rFonts w:cs="Times New Roman"/>
          <w:sz w:val="22"/>
          <w:szCs w:val="22"/>
        </w:rPr>
        <w:t xml:space="preserve">Constituents residing in Houston’s ETJ </w:t>
      </w:r>
      <w:r w:rsidR="00FD02B3" w:rsidRPr="00C254DB">
        <w:rPr>
          <w:rFonts w:cs="Times New Roman"/>
          <w:sz w:val="22"/>
          <w:szCs w:val="22"/>
        </w:rPr>
        <w:t xml:space="preserve">in Fort Bend County </w:t>
      </w:r>
      <w:r w:rsidR="001B242D" w:rsidRPr="00C254DB">
        <w:rPr>
          <w:rFonts w:cs="Times New Roman"/>
          <w:sz w:val="22"/>
          <w:szCs w:val="22"/>
        </w:rPr>
        <w:t>have expressed an interest in removing themselves from Houston’s jurisdiction</w:t>
      </w:r>
      <w:r w:rsidR="00F74054" w:rsidRPr="00C254DB">
        <w:rPr>
          <w:rFonts w:cs="Times New Roman"/>
          <w:sz w:val="22"/>
          <w:szCs w:val="22"/>
        </w:rPr>
        <w:t xml:space="preserve"> with the goal of joining another city, forming their own city, or remaining wholly unincorporated and out of any municipal jurisdiction</w:t>
      </w:r>
      <w:r w:rsidR="001B242D" w:rsidRPr="00C254DB">
        <w:rPr>
          <w:rFonts w:cs="Times New Roman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;</w:t>
      </w:r>
      <w:r w:rsidRPr="00C254DB">
        <w:rPr>
          <w:rFonts w:cs="Times New Roman"/>
          <w:spacing w:val="7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and</w:t>
      </w:r>
    </w:p>
    <w:p w:rsidR="001E5826" w:rsidRPr="00C254DB" w:rsidRDefault="001E5826" w:rsidP="001E5826">
      <w:pPr>
        <w:spacing w:before="9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BodyText"/>
        <w:spacing w:line="252" w:lineRule="auto"/>
        <w:ind w:left="120" w:right="-50" w:hanging="5"/>
        <w:jc w:val="both"/>
        <w:rPr>
          <w:rFonts w:cs="Times New Roman"/>
          <w:sz w:val="22"/>
          <w:szCs w:val="22"/>
        </w:rPr>
      </w:pP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b/>
          <w:sz w:val="22"/>
          <w:szCs w:val="22"/>
        </w:rPr>
        <w:t>WHEREAS</w:t>
      </w:r>
      <w:r w:rsidRPr="00C254DB">
        <w:rPr>
          <w:rFonts w:cs="Times New Roman"/>
          <w:sz w:val="22"/>
          <w:szCs w:val="22"/>
        </w:rPr>
        <w:t>,</w:t>
      </w:r>
      <w:r w:rsidRPr="00C254DB">
        <w:rPr>
          <w:rFonts w:cs="Times New Roman"/>
          <w:spacing w:val="38"/>
          <w:sz w:val="22"/>
          <w:szCs w:val="22"/>
        </w:rPr>
        <w:t xml:space="preserve"> </w:t>
      </w:r>
      <w:r w:rsidR="00F74054" w:rsidRPr="00C254DB">
        <w:rPr>
          <w:rFonts w:cs="Times New Roman"/>
          <w:sz w:val="22"/>
          <w:szCs w:val="22"/>
        </w:rPr>
        <w:t xml:space="preserve">Constituents in Houston’s ETJ </w:t>
      </w:r>
      <w:r w:rsidR="00FD02B3" w:rsidRPr="00C254DB">
        <w:rPr>
          <w:rFonts w:cs="Times New Roman"/>
          <w:sz w:val="22"/>
          <w:szCs w:val="22"/>
        </w:rPr>
        <w:t xml:space="preserve">in Fort Bend County </w:t>
      </w:r>
      <w:r w:rsidR="00F74054" w:rsidRPr="00C254DB">
        <w:rPr>
          <w:rFonts w:cs="Times New Roman"/>
          <w:sz w:val="22"/>
          <w:szCs w:val="22"/>
        </w:rPr>
        <w:t>have expressed their desire for the Texas Legislature to give them a clear path to petition out of Houston’s ETJ</w:t>
      </w:r>
      <w:r w:rsidRPr="00C254DB">
        <w:rPr>
          <w:rFonts w:cs="Times New Roman"/>
          <w:sz w:val="22"/>
          <w:szCs w:val="22"/>
        </w:rPr>
        <w:t>;</w:t>
      </w:r>
      <w:r w:rsidRPr="00C254DB">
        <w:rPr>
          <w:rFonts w:cs="Times New Roman"/>
          <w:spacing w:val="11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and</w:t>
      </w:r>
    </w:p>
    <w:p w:rsidR="001E5826" w:rsidRPr="00C254DB" w:rsidRDefault="001E5826" w:rsidP="001E5826">
      <w:pPr>
        <w:spacing w:before="3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BodyText"/>
        <w:spacing w:line="252" w:lineRule="auto"/>
        <w:ind w:left="129" w:right="-50" w:hanging="5"/>
        <w:jc w:val="both"/>
        <w:rPr>
          <w:rFonts w:cs="Times New Roman"/>
          <w:sz w:val="22"/>
          <w:szCs w:val="22"/>
        </w:rPr>
      </w:pP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sz w:val="22"/>
          <w:szCs w:val="22"/>
        </w:rPr>
        <w:tab/>
      </w:r>
      <w:r w:rsidRPr="00C254DB">
        <w:rPr>
          <w:rFonts w:cs="Times New Roman"/>
          <w:b/>
          <w:sz w:val="22"/>
          <w:szCs w:val="22"/>
        </w:rPr>
        <w:t>WHEREAS</w:t>
      </w:r>
      <w:r w:rsidRPr="00C254DB">
        <w:rPr>
          <w:rFonts w:cs="Times New Roman"/>
          <w:sz w:val="22"/>
          <w:szCs w:val="22"/>
        </w:rPr>
        <w:t>,</w:t>
      </w:r>
      <w:r w:rsidRPr="00C254DB">
        <w:rPr>
          <w:rFonts w:cs="Times New Roman"/>
          <w:spacing w:val="19"/>
          <w:sz w:val="22"/>
          <w:szCs w:val="22"/>
        </w:rPr>
        <w:t xml:space="preserve"> </w:t>
      </w:r>
      <w:r w:rsidR="00F74054" w:rsidRPr="00C254DB">
        <w:rPr>
          <w:rFonts w:cs="Times New Roman"/>
          <w:sz w:val="22"/>
          <w:szCs w:val="22"/>
        </w:rPr>
        <w:t>Houston’s inability to annex populated areas in their ETJ</w:t>
      </w:r>
      <w:r w:rsidR="00FD02B3" w:rsidRPr="00C254DB">
        <w:rPr>
          <w:rFonts w:cs="Times New Roman"/>
          <w:sz w:val="22"/>
          <w:szCs w:val="22"/>
        </w:rPr>
        <w:t xml:space="preserve"> of a county with the population size of Fort Bend County</w:t>
      </w:r>
      <w:r w:rsidR="00F74054" w:rsidRPr="00C254DB">
        <w:rPr>
          <w:rFonts w:cs="Times New Roman"/>
          <w:sz w:val="22"/>
          <w:szCs w:val="22"/>
        </w:rPr>
        <w:t xml:space="preserve"> puts an undue burden </w:t>
      </w:r>
      <w:r w:rsidR="00FD02B3" w:rsidRPr="00C254DB">
        <w:rPr>
          <w:rFonts w:cs="Times New Roman"/>
          <w:sz w:val="22"/>
          <w:szCs w:val="22"/>
        </w:rPr>
        <w:t xml:space="preserve">and restrictions </w:t>
      </w:r>
      <w:r w:rsidR="00F74054" w:rsidRPr="00C254DB">
        <w:rPr>
          <w:rFonts w:cs="Times New Roman"/>
          <w:sz w:val="22"/>
          <w:szCs w:val="22"/>
        </w:rPr>
        <w:t>on county taxpayers and on constituents residing in areas that will never be annexed</w:t>
      </w:r>
      <w:r w:rsidRPr="00C254DB">
        <w:rPr>
          <w:rFonts w:cs="Times New Roman"/>
          <w:sz w:val="22"/>
          <w:szCs w:val="22"/>
        </w:rPr>
        <w:t>.</w:t>
      </w:r>
    </w:p>
    <w:p w:rsidR="001E5826" w:rsidRPr="00C254DB" w:rsidRDefault="001E5826" w:rsidP="001E5826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1E5826" w:rsidRPr="00C254DB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</w:pPr>
      <w:r w:rsidRPr="00C254DB">
        <w:rPr>
          <w:rFonts w:cs="Times New Roman"/>
          <w:b/>
        </w:rPr>
        <w:t>NOW,</w:t>
      </w:r>
      <w:r w:rsidRPr="00C254DB">
        <w:rPr>
          <w:rFonts w:cs="Times New Roman"/>
          <w:b/>
          <w:spacing w:val="41"/>
        </w:rPr>
        <w:t xml:space="preserve"> </w:t>
      </w:r>
      <w:r w:rsidRPr="00C254DB">
        <w:rPr>
          <w:rFonts w:cs="Times New Roman"/>
          <w:b/>
        </w:rPr>
        <w:t>THEREFORE,</w:t>
      </w:r>
      <w:r w:rsidRPr="00C254DB">
        <w:rPr>
          <w:rFonts w:cs="Times New Roman"/>
          <w:b/>
          <w:spacing w:val="39"/>
        </w:rPr>
        <w:t xml:space="preserve"> </w:t>
      </w:r>
      <w:r w:rsidRPr="00C254DB">
        <w:rPr>
          <w:rFonts w:cs="Times New Roman"/>
          <w:b/>
        </w:rPr>
        <w:t>BE</w:t>
      </w:r>
      <w:r w:rsidRPr="00C254DB">
        <w:rPr>
          <w:rFonts w:cs="Times New Roman"/>
          <w:b/>
          <w:spacing w:val="43"/>
        </w:rPr>
        <w:t xml:space="preserve"> </w:t>
      </w:r>
      <w:r w:rsidRPr="00C254DB">
        <w:rPr>
          <w:rFonts w:cs="Times New Roman"/>
          <w:b/>
        </w:rPr>
        <w:t>IT</w:t>
      </w:r>
      <w:r w:rsidRPr="00C254DB">
        <w:rPr>
          <w:rFonts w:cs="Times New Roman"/>
          <w:b/>
          <w:spacing w:val="16"/>
        </w:rPr>
        <w:t xml:space="preserve"> </w:t>
      </w:r>
      <w:r w:rsidRPr="00C254DB">
        <w:rPr>
          <w:rFonts w:cs="Times New Roman"/>
          <w:b/>
        </w:rPr>
        <w:t>RESOLVED</w:t>
      </w:r>
      <w:r w:rsidRPr="00C254DB">
        <w:rPr>
          <w:rFonts w:cs="Times New Roman"/>
          <w:spacing w:val="49"/>
        </w:rPr>
        <w:t xml:space="preserve"> </w:t>
      </w:r>
      <w:r w:rsidRPr="00C254DB">
        <w:rPr>
          <w:rFonts w:cs="Times New Roman"/>
        </w:rPr>
        <w:t>that Fort Bend County Commissioners Court supports</w:t>
      </w:r>
      <w:r w:rsidR="00673527">
        <w:rPr>
          <w:rFonts w:cs="Times New Roman"/>
        </w:rPr>
        <w:t xml:space="preserve"> </w:t>
      </w:r>
      <w:r w:rsidR="00F74054" w:rsidRPr="00C254DB">
        <w:rPr>
          <w:rFonts w:cs="Times New Roman"/>
        </w:rPr>
        <w:t xml:space="preserve">legislation that will allow populated areas within Houston’s ETJ </w:t>
      </w:r>
      <w:r w:rsidR="00FD02B3" w:rsidRPr="00C254DB">
        <w:rPr>
          <w:rFonts w:cs="Times New Roman"/>
        </w:rPr>
        <w:t xml:space="preserve">of Fort Bend County </w:t>
      </w:r>
      <w:r w:rsidR="00F74054" w:rsidRPr="00C254DB">
        <w:rPr>
          <w:rFonts w:cs="Times New Roman"/>
        </w:rPr>
        <w:t xml:space="preserve">to petition for detachment from Houston’s ETJ. </w:t>
      </w:r>
    </w:p>
    <w:p w:rsidR="001E5826" w:rsidRPr="00C254DB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  <w:sectPr w:rsidR="001E5826" w:rsidRPr="00C254DB" w:rsidSect="001E5826">
          <w:pgSz w:w="12240" w:h="15840"/>
          <w:pgMar w:top="1400" w:right="1260" w:bottom="280" w:left="1220" w:header="720" w:footer="720" w:gutter="0"/>
          <w:cols w:space="720"/>
        </w:sectPr>
      </w:pPr>
    </w:p>
    <w:p w:rsidR="001E5826" w:rsidRPr="00C254DB" w:rsidRDefault="001E5826" w:rsidP="001E5826">
      <w:pPr>
        <w:pStyle w:val="BodyText"/>
        <w:spacing w:before="73"/>
        <w:ind w:left="5586"/>
        <w:jc w:val="both"/>
        <w:rPr>
          <w:rFonts w:cs="Times New Roman"/>
          <w:sz w:val="22"/>
          <w:szCs w:val="22"/>
        </w:rPr>
      </w:pPr>
    </w:p>
    <w:p w:rsidR="001E5826" w:rsidRPr="00C254DB" w:rsidRDefault="001E5826" w:rsidP="001E5826">
      <w:pPr>
        <w:pStyle w:val="BodyText"/>
        <w:spacing w:before="73"/>
        <w:jc w:val="both"/>
        <w:rPr>
          <w:rFonts w:cs="Times New Roman"/>
          <w:sz w:val="22"/>
          <w:szCs w:val="22"/>
        </w:rPr>
      </w:pPr>
      <w:r w:rsidRPr="00C254DB">
        <w:rPr>
          <w:rFonts w:cs="Times New Roman"/>
          <w:sz w:val="22"/>
          <w:szCs w:val="22"/>
        </w:rPr>
        <w:t>PASSED</w:t>
      </w:r>
      <w:r w:rsidRPr="00C254DB">
        <w:rPr>
          <w:rFonts w:cs="Times New Roman"/>
          <w:spacing w:val="17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and</w:t>
      </w:r>
      <w:r w:rsidRPr="00C254DB">
        <w:rPr>
          <w:rFonts w:cs="Times New Roman"/>
          <w:spacing w:val="9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APPROVED</w:t>
      </w:r>
      <w:r w:rsidRPr="00C254DB">
        <w:rPr>
          <w:rFonts w:cs="Times New Roman"/>
          <w:spacing w:val="24"/>
          <w:sz w:val="22"/>
          <w:szCs w:val="22"/>
        </w:rPr>
        <w:t xml:space="preserve"> </w:t>
      </w:r>
      <w:r w:rsidRPr="00C254DB">
        <w:rPr>
          <w:rFonts w:cs="Times New Roman"/>
          <w:sz w:val="22"/>
          <w:szCs w:val="22"/>
        </w:rPr>
        <w:t>on</w:t>
      </w:r>
      <w:r w:rsidR="00CE2182">
        <w:rPr>
          <w:rFonts w:cs="Times New Roman"/>
          <w:spacing w:val="6"/>
          <w:sz w:val="22"/>
          <w:szCs w:val="22"/>
        </w:rPr>
        <w:t xml:space="preserve"> December 15</w:t>
      </w:r>
      <w:bookmarkStart w:id="0" w:name="_GoBack"/>
      <w:bookmarkEnd w:id="0"/>
      <w:r w:rsidR="00CE2182">
        <w:rPr>
          <w:rFonts w:cs="Times New Roman"/>
          <w:spacing w:val="6"/>
          <w:sz w:val="22"/>
          <w:szCs w:val="22"/>
        </w:rPr>
        <w:t>, 2020</w:t>
      </w:r>
      <w:r w:rsidRPr="00C254DB">
        <w:rPr>
          <w:rFonts w:cs="Times New Roman"/>
          <w:spacing w:val="6"/>
          <w:sz w:val="22"/>
          <w:szCs w:val="22"/>
        </w:rPr>
        <w:t xml:space="preserve">. </w:t>
      </w:r>
    </w:p>
    <w:p w:rsidR="001E5826" w:rsidRPr="00071A6E" w:rsidRDefault="001E5826" w:rsidP="001E5826">
      <w:pPr>
        <w:rPr>
          <w:rFonts w:ascii="Times New Roman" w:eastAsia="Times New Roman" w:hAnsi="Times New Roman" w:cs="Times New Roman"/>
        </w:rPr>
      </w:pPr>
    </w:p>
    <w:p w:rsidR="001E5826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___________________________________</w:t>
      </w:r>
    </w:p>
    <w:p w:rsidR="001E5826" w:rsidRPr="00071A6E" w:rsidRDefault="001E5826" w:rsidP="001E5826">
      <w:pPr>
        <w:tabs>
          <w:tab w:val="left" w:pos="603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County Judge </w:t>
      </w:r>
      <w:r>
        <w:rPr>
          <w:rFonts w:ascii="Times New Roman" w:hAnsi="Times New Roman" w:cs="Times New Roman"/>
        </w:rPr>
        <w:t>KP George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>
        <w:rPr>
          <w:rFonts w:ascii="Times New Roman" w:hAnsi="Times New Roman" w:cs="Times New Roman"/>
        </w:rPr>
        <w:t>Vincent Morales</w:t>
      </w:r>
      <w:r w:rsidRPr="00071A6E">
        <w:rPr>
          <w:rFonts w:ascii="Times New Roman" w:hAnsi="Times New Roman" w:cs="Times New Roman"/>
        </w:rPr>
        <w:t>, Pct. 1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Commissioner Grady Prestage, Pct. 2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C254DB">
        <w:rPr>
          <w:rFonts w:ascii="Times New Roman" w:hAnsi="Times New Roman" w:cs="Times New Roman"/>
        </w:rPr>
        <w:t xml:space="preserve">Commissioner </w:t>
      </w:r>
      <w:r w:rsidR="00FD02B3" w:rsidRPr="00C254DB">
        <w:rPr>
          <w:rFonts w:ascii="Times New Roman" w:hAnsi="Times New Roman" w:cs="Times New Roman"/>
        </w:rPr>
        <w:t>W. A. “</w:t>
      </w:r>
      <w:r w:rsidRPr="00C254DB">
        <w:rPr>
          <w:rFonts w:ascii="Times New Roman" w:hAnsi="Times New Roman" w:cs="Times New Roman"/>
        </w:rPr>
        <w:t>Andy</w:t>
      </w:r>
      <w:r w:rsidR="00FD02B3" w:rsidRPr="00C254DB">
        <w:rPr>
          <w:rFonts w:ascii="Times New Roman" w:hAnsi="Times New Roman" w:cs="Times New Roman"/>
        </w:rPr>
        <w:t>”</w:t>
      </w:r>
      <w:r w:rsidRPr="00C254DB">
        <w:rPr>
          <w:rFonts w:ascii="Times New Roman" w:hAnsi="Times New Roman" w:cs="Times New Roman"/>
        </w:rPr>
        <w:t xml:space="preserve"> Meyers, Pct. 3</w:t>
      </w:r>
      <w:r w:rsidRPr="00071A6E">
        <w:rPr>
          <w:rFonts w:ascii="Times New Roman" w:hAnsi="Times New Roman" w:cs="Times New Roman"/>
        </w:rPr>
        <w:tab/>
        <w:t xml:space="preserve">Commissioner </w:t>
      </w:r>
      <w:r>
        <w:rPr>
          <w:rFonts w:ascii="Times New Roman" w:hAnsi="Times New Roman" w:cs="Times New Roman"/>
        </w:rPr>
        <w:t>Ken R. DeMerchant</w:t>
      </w:r>
      <w:r w:rsidRPr="00071A6E">
        <w:rPr>
          <w:rFonts w:ascii="Times New Roman" w:hAnsi="Times New Roman" w:cs="Times New Roman"/>
        </w:rPr>
        <w:t>, Pct. 4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ATTEST:</w:t>
      </w:r>
    </w:p>
    <w:p w:rsidR="001E5826" w:rsidRPr="00071A6E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</w:t>
      </w:r>
    </w:p>
    <w:p w:rsidR="001E5826" w:rsidRPr="006A1622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Laura Richard, County Clerk</w:t>
      </w:r>
    </w:p>
    <w:p w:rsidR="001E5826" w:rsidRPr="006A1622" w:rsidRDefault="001E5826" w:rsidP="001E5826">
      <w:pPr>
        <w:rPr>
          <w:rFonts w:ascii="Times New Roman" w:eastAsia="Times New Roman" w:hAnsi="Times New Roman" w:cs="Times New Roman"/>
        </w:rPr>
      </w:pPr>
    </w:p>
    <w:p w:rsidR="00354D6C" w:rsidRDefault="00354D6C"/>
    <w:sectPr w:rsidR="00354D6C">
      <w:type w:val="continuous"/>
      <w:pgSz w:w="12240" w:h="15840"/>
      <w:pgMar w:top="140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E7" w:rsidRDefault="007A7AE7">
      <w:r>
        <w:separator/>
      </w:r>
    </w:p>
  </w:endnote>
  <w:endnote w:type="continuationSeparator" w:id="0">
    <w:p w:rsidR="007A7AE7" w:rsidRDefault="007A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E7" w:rsidRDefault="007A7AE7">
      <w:r>
        <w:separator/>
      </w:r>
    </w:p>
  </w:footnote>
  <w:footnote w:type="continuationSeparator" w:id="0">
    <w:p w:rsidR="007A7AE7" w:rsidRDefault="007A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26"/>
    <w:rsid w:val="001B242D"/>
    <w:rsid w:val="001E5826"/>
    <w:rsid w:val="002B0958"/>
    <w:rsid w:val="00354D6C"/>
    <w:rsid w:val="003E50A0"/>
    <w:rsid w:val="00673527"/>
    <w:rsid w:val="00675C79"/>
    <w:rsid w:val="007A7AE7"/>
    <w:rsid w:val="00994292"/>
    <w:rsid w:val="00A174D6"/>
    <w:rsid w:val="00C254DB"/>
    <w:rsid w:val="00CE2182"/>
    <w:rsid w:val="00F74054"/>
    <w:rsid w:val="00FB17A2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58C3"/>
  <w15:chartTrackingRefBased/>
  <w15:docId w15:val="{29B4A89E-1321-42DC-B07D-695EED7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582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E5826"/>
    <w:pPr>
      <w:ind w:left="13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5826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1E5826"/>
    <w:pPr>
      <w:ind w:left="10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5826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826"/>
  </w:style>
  <w:style w:type="paragraph" w:styleId="Footer">
    <w:name w:val="footer"/>
    <w:basedOn w:val="Normal"/>
    <w:link w:val="Foot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Ospina, Donna</dc:creator>
  <cp:keywords/>
  <dc:description/>
  <cp:lastModifiedBy>Pechukas, Robert</cp:lastModifiedBy>
  <cp:revision>2</cp:revision>
  <dcterms:created xsi:type="dcterms:W3CDTF">2020-12-09T20:36:00Z</dcterms:created>
  <dcterms:modified xsi:type="dcterms:W3CDTF">2020-12-09T20:36:00Z</dcterms:modified>
</cp:coreProperties>
</file>