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08" w:rsidRDefault="007F6108" w:rsidP="007F6108">
      <w:pPr>
        <w:rPr>
          <w:rFonts w:cstheme="minorHAnsi"/>
          <w:b/>
        </w:rPr>
      </w:pPr>
    </w:p>
    <w:p w:rsidR="007F6108" w:rsidRDefault="007F6108" w:rsidP="005E7BA3">
      <w:pPr>
        <w:jc w:val="center"/>
        <w:rPr>
          <w:rFonts w:cstheme="minorHAnsi"/>
          <w:b/>
          <w:sz w:val="56"/>
          <w:szCs w:val="56"/>
        </w:rPr>
      </w:pPr>
    </w:p>
    <w:p w:rsidR="00050800" w:rsidRPr="005E7BA3" w:rsidRDefault="008A6780" w:rsidP="005E7BA3">
      <w:pPr>
        <w:jc w:val="center"/>
        <w:rPr>
          <w:rFonts w:cstheme="minorHAnsi"/>
          <w:b/>
          <w:sz w:val="56"/>
          <w:szCs w:val="56"/>
        </w:rPr>
      </w:pPr>
      <w:r>
        <w:rPr>
          <w:rFonts w:cstheme="minorHAnsi"/>
          <w:b/>
          <w:sz w:val="56"/>
          <w:szCs w:val="56"/>
        </w:rPr>
        <w:t xml:space="preserve">FLSA </w:t>
      </w:r>
      <w:r w:rsidR="007F6108">
        <w:rPr>
          <w:rFonts w:cstheme="minorHAnsi"/>
          <w:b/>
          <w:sz w:val="56"/>
          <w:szCs w:val="56"/>
        </w:rPr>
        <w:t>Exemption</w:t>
      </w:r>
      <w:r>
        <w:rPr>
          <w:rFonts w:cstheme="minorHAnsi"/>
          <w:b/>
          <w:sz w:val="56"/>
          <w:szCs w:val="56"/>
        </w:rPr>
        <w:t xml:space="preserve"> Proposal</w:t>
      </w:r>
    </w:p>
    <w:p w:rsidR="00050800" w:rsidRPr="007F6108" w:rsidRDefault="005E7BA3" w:rsidP="007F6108">
      <w:pPr>
        <w:pStyle w:val="Footer"/>
        <w:pBdr>
          <w:top w:val="thinThickSmallGap" w:sz="24" w:space="1" w:color="622423" w:themeColor="accent2" w:themeShade="7F"/>
        </w:pBdr>
        <w:rPr>
          <w:rFonts w:asciiTheme="majorHAnsi" w:eastAsiaTheme="majorEastAsia" w:hAnsiTheme="majorHAnsi" w:cstheme="majorBidi"/>
        </w:rPr>
      </w:pPr>
      <w:r>
        <w:rPr>
          <w:rFonts w:cstheme="minorHAnsi"/>
          <w:b/>
        </w:rPr>
        <w:tab/>
      </w:r>
      <w:r>
        <w:rPr>
          <w:rFonts w:asciiTheme="majorHAnsi" w:eastAsiaTheme="majorEastAsia" w:hAnsiTheme="majorHAnsi" w:cstheme="majorBidi"/>
        </w:rPr>
        <w:ptab w:relativeTo="margin" w:alignment="right" w:leader="none"/>
      </w:r>
    </w:p>
    <w:p w:rsidR="00050800" w:rsidRDefault="00050800">
      <w:pPr>
        <w:rPr>
          <w:rFonts w:cstheme="minorHAnsi"/>
        </w:rPr>
      </w:pPr>
    </w:p>
    <w:p w:rsidR="003C4516" w:rsidRDefault="003C4516" w:rsidP="002B73E4">
      <w:pPr>
        <w:spacing w:after="0"/>
        <w:rPr>
          <w:rFonts w:cstheme="minorHAnsi"/>
          <w:b/>
        </w:rPr>
      </w:pPr>
    </w:p>
    <w:p w:rsidR="003C4516" w:rsidRDefault="003C4516" w:rsidP="002B73E4">
      <w:pPr>
        <w:spacing w:after="0"/>
        <w:rPr>
          <w:rFonts w:cstheme="minorHAnsi"/>
          <w:b/>
        </w:rPr>
      </w:pPr>
    </w:p>
    <w:p w:rsidR="007F6108" w:rsidRDefault="009E72B2" w:rsidP="00675DD4">
      <w:pPr>
        <w:rPr>
          <w:rFonts w:eastAsia="Times New Roman" w:cstheme="minorHAnsi"/>
          <w:color w:val="000000"/>
          <w:sz w:val="24"/>
          <w:szCs w:val="24"/>
        </w:rPr>
      </w:pPr>
      <w:r w:rsidRPr="007F6108">
        <w:rPr>
          <w:rFonts w:eastAsia="Times New Roman" w:cstheme="minorHAnsi"/>
          <w:color w:val="000000"/>
          <w:sz w:val="24"/>
          <w:szCs w:val="24"/>
        </w:rPr>
        <w:t>On May 18, 20</w:t>
      </w:r>
      <w:r w:rsidR="00374BC1" w:rsidRPr="007F6108">
        <w:rPr>
          <w:rFonts w:eastAsia="Times New Roman" w:cstheme="minorHAnsi"/>
          <w:color w:val="000000"/>
          <w:sz w:val="24"/>
          <w:szCs w:val="24"/>
        </w:rPr>
        <w:t xml:space="preserve">16, </w:t>
      </w:r>
      <w:r w:rsidR="007F6108" w:rsidRPr="007F6108">
        <w:rPr>
          <w:rFonts w:eastAsia="Times New Roman" w:cstheme="minorHAnsi"/>
          <w:color w:val="000000"/>
          <w:sz w:val="24"/>
          <w:szCs w:val="24"/>
        </w:rPr>
        <w:t>t</w:t>
      </w:r>
      <w:r w:rsidR="00374BC1" w:rsidRPr="007F6108">
        <w:rPr>
          <w:rFonts w:eastAsia="Times New Roman" w:cstheme="minorHAnsi"/>
          <w:color w:val="000000"/>
          <w:sz w:val="24"/>
          <w:szCs w:val="24"/>
        </w:rPr>
        <w:t>he D</w:t>
      </w:r>
      <w:r w:rsidR="007F6108" w:rsidRPr="007F6108">
        <w:rPr>
          <w:rFonts w:eastAsia="Times New Roman" w:cstheme="minorHAnsi"/>
          <w:color w:val="000000"/>
          <w:sz w:val="24"/>
          <w:szCs w:val="24"/>
        </w:rPr>
        <w:t>epartment of Labor issued t</w:t>
      </w:r>
      <w:r w:rsidR="00536C1D">
        <w:rPr>
          <w:rFonts w:eastAsia="Times New Roman" w:cstheme="minorHAnsi"/>
          <w:color w:val="000000"/>
          <w:sz w:val="24"/>
          <w:szCs w:val="24"/>
        </w:rPr>
        <w:t>he Final Rule on FLSA Overtime R</w:t>
      </w:r>
      <w:bookmarkStart w:id="0" w:name="_GoBack"/>
      <w:bookmarkEnd w:id="0"/>
      <w:r w:rsidR="007F6108" w:rsidRPr="007F6108">
        <w:rPr>
          <w:rFonts w:eastAsia="Times New Roman" w:cstheme="minorHAnsi"/>
          <w:color w:val="000000"/>
          <w:sz w:val="24"/>
          <w:szCs w:val="24"/>
        </w:rPr>
        <w:t>ules to be effective December 1</w:t>
      </w:r>
      <w:r w:rsidR="007F6108" w:rsidRPr="007F6108">
        <w:rPr>
          <w:rFonts w:eastAsia="Times New Roman" w:cstheme="minorHAnsi"/>
          <w:color w:val="000000"/>
          <w:sz w:val="24"/>
          <w:szCs w:val="24"/>
          <w:vertAlign w:val="superscript"/>
        </w:rPr>
        <w:t>st</w:t>
      </w:r>
      <w:r w:rsidR="007F6108" w:rsidRPr="007F6108">
        <w:rPr>
          <w:rFonts w:eastAsia="Times New Roman" w:cstheme="minorHAnsi"/>
          <w:color w:val="000000"/>
          <w:sz w:val="24"/>
          <w:szCs w:val="24"/>
        </w:rPr>
        <w:t>, 2016.</w:t>
      </w:r>
    </w:p>
    <w:p w:rsidR="007F6108" w:rsidRPr="007F6108" w:rsidRDefault="007F6108" w:rsidP="00675DD4">
      <w:pPr>
        <w:rPr>
          <w:rFonts w:eastAsia="Times New Roman" w:cstheme="minorHAnsi"/>
          <w:color w:val="000000"/>
          <w:sz w:val="24"/>
          <w:szCs w:val="24"/>
        </w:rPr>
      </w:pPr>
    </w:p>
    <w:p w:rsidR="007F6108" w:rsidRPr="007F6108" w:rsidRDefault="007F6108" w:rsidP="00675DD4">
      <w:pPr>
        <w:rPr>
          <w:rFonts w:eastAsia="Times New Roman" w:cstheme="minorHAnsi"/>
          <w:color w:val="000000"/>
          <w:sz w:val="24"/>
          <w:szCs w:val="24"/>
        </w:rPr>
      </w:pPr>
      <w:r w:rsidRPr="007F6108">
        <w:rPr>
          <w:rFonts w:eastAsia="Times New Roman" w:cstheme="minorHAnsi"/>
          <w:color w:val="000000"/>
          <w:sz w:val="24"/>
          <w:szCs w:val="24"/>
        </w:rPr>
        <w:t>The Final Rule:</w:t>
      </w:r>
    </w:p>
    <w:p w:rsidR="00374BC1" w:rsidRPr="007F6108" w:rsidRDefault="00374BC1" w:rsidP="007F6108">
      <w:pPr>
        <w:pStyle w:val="ListParagraph"/>
        <w:numPr>
          <w:ilvl w:val="0"/>
          <w:numId w:val="8"/>
        </w:numPr>
        <w:spacing w:after="0"/>
        <w:rPr>
          <w:rFonts w:eastAsia="Times New Roman" w:cstheme="minorHAnsi"/>
          <w:color w:val="000000"/>
          <w:sz w:val="24"/>
          <w:szCs w:val="24"/>
        </w:rPr>
      </w:pPr>
      <w:r w:rsidRPr="007F6108">
        <w:rPr>
          <w:rFonts w:eastAsia="Times New Roman" w:cstheme="minorHAnsi"/>
          <w:color w:val="000000"/>
          <w:sz w:val="24"/>
          <w:szCs w:val="24"/>
        </w:rPr>
        <w:t>Sets the standard salary level threshold at the 40</w:t>
      </w:r>
      <w:r w:rsidRPr="007F6108">
        <w:rPr>
          <w:rFonts w:eastAsia="Times New Roman" w:cstheme="minorHAnsi"/>
          <w:color w:val="000000"/>
          <w:sz w:val="24"/>
          <w:szCs w:val="24"/>
          <w:vertAlign w:val="superscript"/>
        </w:rPr>
        <w:t>th</w:t>
      </w:r>
      <w:r w:rsidRPr="007F6108">
        <w:rPr>
          <w:rFonts w:eastAsia="Times New Roman" w:cstheme="minorHAnsi"/>
          <w:color w:val="000000"/>
          <w:sz w:val="24"/>
          <w:szCs w:val="24"/>
        </w:rPr>
        <w:t xml:space="preserve"> percentile of weekly earnings for full-time salaried workers ($970 per week, or $47,476 annually)</w:t>
      </w:r>
    </w:p>
    <w:p w:rsidR="007F6108" w:rsidRPr="007F6108" w:rsidRDefault="007F6108" w:rsidP="007F6108">
      <w:pPr>
        <w:pStyle w:val="ListParagraph"/>
        <w:spacing w:after="0"/>
        <w:rPr>
          <w:rFonts w:eastAsia="Times New Roman" w:cstheme="minorHAnsi"/>
          <w:color w:val="000000"/>
          <w:sz w:val="24"/>
          <w:szCs w:val="24"/>
        </w:rPr>
      </w:pPr>
    </w:p>
    <w:p w:rsidR="007F6108" w:rsidRPr="007F6108" w:rsidRDefault="00374BC1" w:rsidP="007F6108">
      <w:pPr>
        <w:pStyle w:val="ListParagraph"/>
        <w:numPr>
          <w:ilvl w:val="0"/>
          <w:numId w:val="8"/>
        </w:numPr>
        <w:spacing w:after="0"/>
        <w:rPr>
          <w:rFonts w:eastAsia="Times New Roman" w:cstheme="minorHAnsi"/>
          <w:color w:val="000000"/>
          <w:sz w:val="24"/>
          <w:szCs w:val="24"/>
        </w:rPr>
      </w:pPr>
      <w:r w:rsidRPr="007F6108">
        <w:rPr>
          <w:rFonts w:eastAsia="Times New Roman" w:cstheme="minorHAnsi"/>
          <w:color w:val="000000"/>
          <w:sz w:val="24"/>
          <w:szCs w:val="24"/>
        </w:rPr>
        <w:t>Sets the total annual compensation requirement for highly compensated employees to the annual equivalent of the 90</w:t>
      </w:r>
      <w:r w:rsidRPr="007F6108">
        <w:rPr>
          <w:rFonts w:eastAsia="Times New Roman" w:cstheme="minorHAnsi"/>
          <w:color w:val="000000"/>
          <w:sz w:val="24"/>
          <w:szCs w:val="24"/>
          <w:vertAlign w:val="superscript"/>
        </w:rPr>
        <w:t>th</w:t>
      </w:r>
      <w:r w:rsidRPr="007F6108">
        <w:rPr>
          <w:rFonts w:eastAsia="Times New Roman" w:cstheme="minorHAnsi"/>
          <w:color w:val="000000"/>
          <w:sz w:val="24"/>
          <w:szCs w:val="24"/>
        </w:rPr>
        <w:t xml:space="preserve"> percentile of full-time salaried workers nationally ($134,004)</w:t>
      </w:r>
    </w:p>
    <w:p w:rsidR="007F6108" w:rsidRPr="007F6108" w:rsidRDefault="007F6108" w:rsidP="007F6108">
      <w:pPr>
        <w:pStyle w:val="ListParagraph"/>
        <w:spacing w:after="0"/>
        <w:rPr>
          <w:rFonts w:eastAsia="Times New Roman" w:cstheme="minorHAnsi"/>
          <w:color w:val="000000"/>
          <w:sz w:val="24"/>
          <w:szCs w:val="24"/>
        </w:rPr>
      </w:pPr>
    </w:p>
    <w:p w:rsidR="00374BC1" w:rsidRPr="007F6108" w:rsidRDefault="00374BC1" w:rsidP="007F6108">
      <w:pPr>
        <w:pStyle w:val="ListParagraph"/>
        <w:numPr>
          <w:ilvl w:val="0"/>
          <w:numId w:val="8"/>
        </w:numPr>
        <w:spacing w:after="0"/>
        <w:rPr>
          <w:rFonts w:eastAsia="Times New Roman" w:cstheme="minorHAnsi"/>
          <w:color w:val="000000"/>
          <w:sz w:val="24"/>
          <w:szCs w:val="24"/>
        </w:rPr>
      </w:pPr>
      <w:r w:rsidRPr="007F6108">
        <w:rPr>
          <w:rFonts w:eastAsia="Times New Roman" w:cstheme="minorHAnsi"/>
          <w:color w:val="000000"/>
          <w:sz w:val="24"/>
          <w:szCs w:val="24"/>
        </w:rPr>
        <w:t>Establishes a mechanism for automatically updating the salary and compensation levels every 3 years to maintain levels at the above percentiles and to ensure that they continue to provide useful an</w:t>
      </w:r>
      <w:r w:rsidR="0099668C" w:rsidRPr="007F6108">
        <w:rPr>
          <w:rFonts w:eastAsia="Times New Roman" w:cstheme="minorHAnsi"/>
          <w:color w:val="000000"/>
          <w:sz w:val="24"/>
          <w:szCs w:val="24"/>
        </w:rPr>
        <w:t>d effective tests for exemption</w:t>
      </w:r>
    </w:p>
    <w:p w:rsidR="007F6108" w:rsidRPr="007F6108" w:rsidRDefault="007F6108" w:rsidP="007F6108">
      <w:pPr>
        <w:pStyle w:val="ListParagraph"/>
        <w:spacing w:after="0"/>
        <w:rPr>
          <w:rFonts w:eastAsia="Times New Roman" w:cstheme="minorHAnsi"/>
          <w:color w:val="000000"/>
          <w:sz w:val="24"/>
          <w:szCs w:val="24"/>
        </w:rPr>
      </w:pPr>
    </w:p>
    <w:p w:rsidR="00374BC1" w:rsidRPr="007F6108" w:rsidRDefault="00374BC1" w:rsidP="007F6108">
      <w:pPr>
        <w:pStyle w:val="ListParagraph"/>
        <w:numPr>
          <w:ilvl w:val="0"/>
          <w:numId w:val="8"/>
        </w:numPr>
        <w:spacing w:after="0"/>
        <w:rPr>
          <w:rFonts w:eastAsia="Times New Roman" w:cstheme="minorHAnsi"/>
          <w:color w:val="000000"/>
          <w:sz w:val="24"/>
          <w:szCs w:val="24"/>
        </w:rPr>
      </w:pPr>
      <w:r w:rsidRPr="007F6108">
        <w:rPr>
          <w:rFonts w:eastAsia="Times New Roman" w:cstheme="minorHAnsi"/>
          <w:color w:val="000000"/>
          <w:sz w:val="24"/>
          <w:szCs w:val="24"/>
        </w:rPr>
        <w:t>The Final Rule amends the salary basis test to allow employees to use nondiscretionary bonuses and incentive payments to satisfy up to 10 percent of the new standard salary level</w:t>
      </w:r>
    </w:p>
    <w:p w:rsidR="007F6108" w:rsidRDefault="007F6108" w:rsidP="007F6108">
      <w:pPr>
        <w:spacing w:after="0"/>
        <w:rPr>
          <w:rFonts w:eastAsia="Times New Roman" w:cstheme="minorHAnsi"/>
          <w:color w:val="000000"/>
          <w:sz w:val="24"/>
          <w:szCs w:val="24"/>
        </w:rPr>
      </w:pPr>
    </w:p>
    <w:p w:rsidR="007F6108" w:rsidRPr="007F6108" w:rsidRDefault="007F6108" w:rsidP="007F6108">
      <w:pPr>
        <w:spacing w:after="0"/>
        <w:rPr>
          <w:rFonts w:eastAsia="Times New Roman" w:cstheme="minorHAnsi"/>
          <w:color w:val="000000"/>
          <w:sz w:val="24"/>
          <w:szCs w:val="24"/>
        </w:rPr>
      </w:pPr>
    </w:p>
    <w:p w:rsidR="003C4516" w:rsidRPr="007F6108" w:rsidRDefault="007F6108" w:rsidP="007F6108">
      <w:pPr>
        <w:spacing w:after="0" w:line="240" w:lineRule="auto"/>
        <w:rPr>
          <w:rFonts w:eastAsia="Times New Roman" w:cstheme="minorHAnsi"/>
          <w:color w:val="000000"/>
          <w:sz w:val="24"/>
          <w:szCs w:val="24"/>
        </w:rPr>
      </w:pPr>
      <w:r w:rsidRPr="007F6108">
        <w:rPr>
          <w:rFonts w:eastAsia="Times New Roman" w:cstheme="minorHAnsi"/>
          <w:color w:val="000000"/>
          <w:sz w:val="24"/>
          <w:szCs w:val="24"/>
        </w:rPr>
        <w:t>In order to comply with this rule, your HR Team has put together the following proposal.</w:t>
      </w:r>
    </w:p>
    <w:p w:rsidR="0099668C" w:rsidRDefault="0099668C"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Default="007F6108" w:rsidP="007F6108">
      <w:pPr>
        <w:spacing w:after="0" w:line="240" w:lineRule="auto"/>
        <w:rPr>
          <w:rFonts w:eastAsia="Times New Roman" w:cstheme="minorHAnsi"/>
          <w:b/>
          <w:color w:val="000000"/>
        </w:rPr>
      </w:pPr>
    </w:p>
    <w:p w:rsidR="007F6108" w:rsidRPr="002763B9" w:rsidRDefault="007F6108" w:rsidP="007F6108">
      <w:pPr>
        <w:jc w:val="center"/>
        <w:rPr>
          <w:rFonts w:cstheme="minorHAnsi"/>
          <w:b/>
        </w:rPr>
      </w:pPr>
      <w:r w:rsidRPr="002763B9">
        <w:rPr>
          <w:rFonts w:cstheme="minorHAnsi"/>
          <w:b/>
        </w:rPr>
        <w:lastRenderedPageBreak/>
        <w:t xml:space="preserve">FLSA </w:t>
      </w:r>
      <w:r w:rsidR="004E6A28">
        <w:rPr>
          <w:rFonts w:cstheme="minorHAnsi"/>
          <w:b/>
        </w:rPr>
        <w:t>Exemption Proposal</w:t>
      </w:r>
    </w:p>
    <w:p w:rsidR="007F6108" w:rsidRDefault="007F6108" w:rsidP="007F6108">
      <w:pPr>
        <w:spacing w:after="0"/>
        <w:rPr>
          <w:rFonts w:eastAsia="Times New Roman" w:cstheme="minorHAnsi"/>
          <w:color w:val="000000"/>
        </w:rPr>
      </w:pPr>
      <w:r>
        <w:rPr>
          <w:rFonts w:eastAsia="Times New Roman" w:cstheme="minorHAnsi"/>
          <w:color w:val="000000"/>
        </w:rPr>
        <w:t xml:space="preserve">The plan is to eliminate Grade 9 in the Professional Management Policy Group and move all positions to Grade 10 of the Administrative Clerical Policy Group and change their status to non-exempt. </w:t>
      </w:r>
    </w:p>
    <w:p w:rsidR="007F6108" w:rsidRPr="00421B20" w:rsidRDefault="007F6108" w:rsidP="007F6108">
      <w:pPr>
        <w:spacing w:after="0"/>
        <w:rPr>
          <w:rFonts w:eastAsia="Times New Roman" w:cstheme="minorHAnsi"/>
          <w:color w:val="000000"/>
          <w:sz w:val="16"/>
          <w:szCs w:val="16"/>
        </w:rPr>
      </w:pPr>
    </w:p>
    <w:p w:rsidR="007F6108" w:rsidRDefault="007F6108" w:rsidP="007F6108">
      <w:pPr>
        <w:spacing w:after="0"/>
        <w:rPr>
          <w:rFonts w:eastAsia="Times New Roman" w:cstheme="minorHAnsi"/>
          <w:color w:val="000000"/>
        </w:rPr>
      </w:pPr>
      <w:r w:rsidRPr="00CC0686">
        <w:rPr>
          <w:rFonts w:eastAsia="Times New Roman" w:cstheme="minorHAnsi"/>
          <w:color w:val="000000"/>
        </w:rPr>
        <w:t xml:space="preserve">Employees </w:t>
      </w:r>
      <w:r>
        <w:rPr>
          <w:rFonts w:eastAsia="Times New Roman" w:cstheme="minorHAnsi"/>
          <w:color w:val="000000"/>
        </w:rPr>
        <w:t xml:space="preserve">will </w:t>
      </w:r>
      <w:r w:rsidRPr="00CC0686">
        <w:rPr>
          <w:rFonts w:eastAsia="Times New Roman" w:cstheme="minorHAnsi"/>
          <w:color w:val="000000"/>
        </w:rPr>
        <w:t xml:space="preserve">keep their current step and move to </w:t>
      </w:r>
      <w:r>
        <w:rPr>
          <w:rFonts w:eastAsia="Times New Roman" w:cstheme="minorHAnsi"/>
          <w:color w:val="000000"/>
        </w:rPr>
        <w:t>Grade 10, Admin Clerical</w:t>
      </w:r>
      <w:r w:rsidRPr="00CC0686">
        <w:rPr>
          <w:rFonts w:eastAsia="Times New Roman" w:cstheme="minorHAnsi"/>
          <w:color w:val="000000"/>
        </w:rPr>
        <w:t>.</w:t>
      </w:r>
      <w:r>
        <w:rPr>
          <w:rFonts w:eastAsia="Times New Roman" w:cstheme="minorHAnsi"/>
          <w:color w:val="000000"/>
        </w:rPr>
        <w:t xml:space="preserve"> The table below shows a summary of the cost of this change to existing employees. </w:t>
      </w:r>
    </w:p>
    <w:p w:rsidR="007F6108" w:rsidRPr="00421B20" w:rsidRDefault="007F6108" w:rsidP="007F6108">
      <w:pPr>
        <w:spacing w:after="0"/>
        <w:rPr>
          <w:rFonts w:eastAsia="Times New Roman" w:cstheme="minorHAnsi"/>
          <w:color w:val="000000"/>
          <w:sz w:val="16"/>
          <w:szCs w:val="16"/>
        </w:rPr>
      </w:pPr>
    </w:p>
    <w:tbl>
      <w:tblPr>
        <w:tblStyle w:val="TableGrid"/>
        <w:tblW w:w="0" w:type="auto"/>
        <w:jc w:val="center"/>
        <w:tblLook w:val="04A0" w:firstRow="1" w:lastRow="0" w:firstColumn="1" w:lastColumn="0" w:noHBand="0" w:noVBand="1"/>
      </w:tblPr>
      <w:tblGrid>
        <w:gridCol w:w="2718"/>
        <w:gridCol w:w="1481"/>
        <w:gridCol w:w="2323"/>
        <w:gridCol w:w="2288"/>
        <w:gridCol w:w="2206"/>
      </w:tblGrid>
      <w:tr w:rsidR="007F6108" w:rsidRPr="00D654D3" w:rsidTr="003C1C61">
        <w:trPr>
          <w:jc w:val="center"/>
        </w:trPr>
        <w:tc>
          <w:tcPr>
            <w:tcW w:w="2718"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PM, Grade 9 Employees</w:t>
            </w:r>
          </w:p>
        </w:tc>
        <w:tc>
          <w:tcPr>
            <w:tcW w:w="1481"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 of Employees</w:t>
            </w:r>
          </w:p>
        </w:tc>
        <w:tc>
          <w:tcPr>
            <w:tcW w:w="2323" w:type="dxa"/>
          </w:tcPr>
          <w:p w:rsidR="007F6108" w:rsidRDefault="007F6108" w:rsidP="003C1C61">
            <w:pPr>
              <w:jc w:val="center"/>
              <w:rPr>
                <w:rFonts w:eastAsia="Times New Roman" w:cstheme="minorHAnsi"/>
                <w:b/>
                <w:color w:val="000000"/>
              </w:rPr>
            </w:pPr>
            <w:r w:rsidRPr="00D654D3">
              <w:rPr>
                <w:rFonts w:eastAsia="Times New Roman" w:cstheme="minorHAnsi"/>
                <w:b/>
                <w:color w:val="000000"/>
              </w:rPr>
              <w:t>Current Salaries</w:t>
            </w:r>
          </w:p>
          <w:p w:rsidR="007F6108" w:rsidRPr="008903C7" w:rsidRDefault="007F6108" w:rsidP="003C1C61">
            <w:pPr>
              <w:jc w:val="center"/>
              <w:rPr>
                <w:rFonts w:eastAsia="Times New Roman" w:cstheme="minorHAnsi"/>
                <w:b/>
                <w:color w:val="000000"/>
                <w:sz w:val="16"/>
                <w:szCs w:val="16"/>
              </w:rPr>
            </w:pPr>
            <w:r w:rsidRPr="008903C7">
              <w:rPr>
                <w:rFonts w:eastAsia="Times New Roman" w:cstheme="minorHAnsi"/>
                <w:b/>
                <w:color w:val="000000"/>
                <w:sz w:val="16"/>
                <w:szCs w:val="16"/>
              </w:rPr>
              <w:t>(Effect 11/19/2016)</w:t>
            </w:r>
          </w:p>
        </w:tc>
        <w:tc>
          <w:tcPr>
            <w:tcW w:w="2288" w:type="dxa"/>
          </w:tcPr>
          <w:p w:rsidR="007F6108" w:rsidRDefault="007F6108" w:rsidP="003C1C61">
            <w:pPr>
              <w:jc w:val="center"/>
              <w:rPr>
                <w:rFonts w:eastAsia="Times New Roman" w:cstheme="minorHAnsi"/>
                <w:b/>
                <w:color w:val="000000"/>
              </w:rPr>
            </w:pPr>
            <w:r w:rsidRPr="00D654D3">
              <w:rPr>
                <w:rFonts w:eastAsia="Times New Roman" w:cstheme="minorHAnsi"/>
                <w:b/>
                <w:color w:val="000000"/>
              </w:rPr>
              <w:t>Move to Grade 10/AC</w:t>
            </w:r>
          </w:p>
          <w:p w:rsidR="007F6108" w:rsidRPr="008903C7" w:rsidRDefault="007F6108" w:rsidP="003C1C61">
            <w:pPr>
              <w:jc w:val="center"/>
              <w:rPr>
                <w:rFonts w:eastAsia="Times New Roman" w:cstheme="minorHAnsi"/>
                <w:b/>
                <w:color w:val="000000"/>
                <w:sz w:val="16"/>
                <w:szCs w:val="16"/>
              </w:rPr>
            </w:pPr>
            <w:r w:rsidRPr="008903C7">
              <w:rPr>
                <w:rFonts w:eastAsia="Times New Roman" w:cstheme="minorHAnsi"/>
                <w:b/>
                <w:color w:val="000000"/>
                <w:sz w:val="16"/>
                <w:szCs w:val="16"/>
              </w:rPr>
              <w:t>(Effective 11/19/2016)</w:t>
            </w:r>
          </w:p>
        </w:tc>
        <w:tc>
          <w:tcPr>
            <w:tcW w:w="2206" w:type="dxa"/>
          </w:tcPr>
          <w:p w:rsidR="007F6108" w:rsidRPr="00D654D3" w:rsidRDefault="007F6108" w:rsidP="003C1C61">
            <w:pPr>
              <w:jc w:val="center"/>
              <w:rPr>
                <w:rFonts w:eastAsia="Times New Roman" w:cstheme="minorHAnsi"/>
                <w:b/>
                <w:color w:val="000000"/>
              </w:rPr>
            </w:pPr>
            <w:r w:rsidRPr="00D654D3">
              <w:rPr>
                <w:rFonts w:eastAsia="Times New Roman" w:cstheme="minorHAnsi"/>
                <w:b/>
                <w:color w:val="000000"/>
              </w:rPr>
              <w:t>Difference</w:t>
            </w:r>
            <w:r>
              <w:rPr>
                <w:rFonts w:eastAsia="Times New Roman" w:cstheme="minorHAnsi"/>
                <w:b/>
                <w:color w:val="000000"/>
              </w:rPr>
              <w:t xml:space="preserve"> including Payroll Burden</w:t>
            </w:r>
          </w:p>
        </w:tc>
      </w:tr>
      <w:tr w:rsidR="007F6108" w:rsidTr="003C1C61">
        <w:trPr>
          <w:jc w:val="center"/>
        </w:trPr>
        <w:tc>
          <w:tcPr>
            <w:tcW w:w="2718" w:type="dxa"/>
          </w:tcPr>
          <w:p w:rsidR="007F6108" w:rsidRDefault="007F6108" w:rsidP="003C1C61">
            <w:pPr>
              <w:rPr>
                <w:rFonts w:eastAsia="Times New Roman" w:cstheme="minorHAnsi"/>
                <w:color w:val="000000"/>
              </w:rPr>
            </w:pPr>
            <w:r>
              <w:rPr>
                <w:rFonts w:eastAsia="Times New Roman" w:cstheme="minorHAnsi"/>
                <w:color w:val="000000"/>
              </w:rPr>
              <w:t>Exempt under Threshold</w:t>
            </w:r>
          </w:p>
        </w:tc>
        <w:tc>
          <w:tcPr>
            <w:tcW w:w="1481" w:type="dxa"/>
          </w:tcPr>
          <w:p w:rsidR="007F6108" w:rsidRDefault="007F6108" w:rsidP="003C1C61">
            <w:pPr>
              <w:jc w:val="center"/>
              <w:rPr>
                <w:rFonts w:eastAsia="Times New Roman" w:cstheme="minorHAnsi"/>
                <w:color w:val="000000"/>
              </w:rPr>
            </w:pPr>
            <w:r>
              <w:rPr>
                <w:rFonts w:eastAsia="Times New Roman" w:cstheme="minorHAnsi"/>
                <w:color w:val="000000"/>
              </w:rPr>
              <w:t>23</w:t>
            </w:r>
          </w:p>
        </w:tc>
        <w:tc>
          <w:tcPr>
            <w:tcW w:w="2323" w:type="dxa"/>
          </w:tcPr>
          <w:p w:rsidR="007F6108" w:rsidRDefault="007F6108" w:rsidP="003C1C61">
            <w:pPr>
              <w:jc w:val="right"/>
              <w:rPr>
                <w:rFonts w:eastAsia="Times New Roman" w:cstheme="minorHAnsi"/>
                <w:color w:val="000000"/>
              </w:rPr>
            </w:pPr>
            <w:r>
              <w:rPr>
                <w:rFonts w:eastAsia="Times New Roman" w:cstheme="minorHAnsi"/>
                <w:color w:val="000000"/>
              </w:rPr>
              <w:t>$775,864.32</w:t>
            </w:r>
          </w:p>
        </w:tc>
        <w:tc>
          <w:tcPr>
            <w:tcW w:w="2288" w:type="dxa"/>
          </w:tcPr>
          <w:p w:rsidR="007F6108" w:rsidRDefault="007F6108" w:rsidP="003C1C61">
            <w:pPr>
              <w:jc w:val="right"/>
              <w:rPr>
                <w:rFonts w:eastAsia="Times New Roman" w:cstheme="minorHAnsi"/>
                <w:color w:val="000000"/>
              </w:rPr>
            </w:pPr>
            <w:r>
              <w:rPr>
                <w:rFonts w:eastAsia="Times New Roman" w:cstheme="minorHAnsi"/>
                <w:color w:val="000000"/>
              </w:rPr>
              <w:t>$814,007.04</w:t>
            </w:r>
          </w:p>
        </w:tc>
        <w:tc>
          <w:tcPr>
            <w:tcW w:w="2206" w:type="dxa"/>
          </w:tcPr>
          <w:p w:rsidR="007F6108" w:rsidRDefault="007F6108" w:rsidP="003C1C61">
            <w:pPr>
              <w:jc w:val="right"/>
              <w:rPr>
                <w:rFonts w:eastAsia="Times New Roman" w:cstheme="minorHAnsi"/>
                <w:color w:val="000000"/>
              </w:rPr>
            </w:pPr>
            <w:r>
              <w:rPr>
                <w:rFonts w:eastAsia="Times New Roman" w:cstheme="minorHAnsi"/>
                <w:color w:val="000000"/>
              </w:rPr>
              <w:t>$47,068.12</w:t>
            </w:r>
          </w:p>
        </w:tc>
      </w:tr>
      <w:tr w:rsidR="007F6108" w:rsidTr="003C1C61">
        <w:trPr>
          <w:jc w:val="center"/>
        </w:trPr>
        <w:tc>
          <w:tcPr>
            <w:tcW w:w="2718" w:type="dxa"/>
          </w:tcPr>
          <w:p w:rsidR="007F6108" w:rsidRDefault="007F6108" w:rsidP="003C1C61">
            <w:pPr>
              <w:rPr>
                <w:rFonts w:eastAsia="Times New Roman" w:cstheme="minorHAnsi"/>
                <w:color w:val="000000"/>
              </w:rPr>
            </w:pPr>
            <w:r>
              <w:rPr>
                <w:rFonts w:eastAsia="Times New Roman" w:cstheme="minorHAnsi"/>
                <w:color w:val="000000"/>
              </w:rPr>
              <w:t>Exempt over Threshold</w:t>
            </w:r>
          </w:p>
        </w:tc>
        <w:tc>
          <w:tcPr>
            <w:tcW w:w="1481" w:type="dxa"/>
          </w:tcPr>
          <w:p w:rsidR="007F6108" w:rsidRDefault="007F6108" w:rsidP="003C1C61">
            <w:pPr>
              <w:jc w:val="center"/>
              <w:rPr>
                <w:rFonts w:eastAsia="Times New Roman" w:cstheme="minorHAnsi"/>
                <w:color w:val="000000"/>
              </w:rPr>
            </w:pPr>
            <w:r>
              <w:rPr>
                <w:rFonts w:eastAsia="Times New Roman" w:cstheme="minorHAnsi"/>
                <w:color w:val="000000"/>
              </w:rPr>
              <w:t>5</w:t>
            </w:r>
          </w:p>
        </w:tc>
        <w:tc>
          <w:tcPr>
            <w:tcW w:w="2323" w:type="dxa"/>
          </w:tcPr>
          <w:p w:rsidR="007F6108" w:rsidRDefault="007F6108" w:rsidP="003C1C61">
            <w:pPr>
              <w:jc w:val="right"/>
              <w:rPr>
                <w:rFonts w:eastAsia="Times New Roman" w:cstheme="minorHAnsi"/>
                <w:color w:val="000000"/>
              </w:rPr>
            </w:pPr>
            <w:r>
              <w:rPr>
                <w:rFonts w:eastAsia="Times New Roman" w:cstheme="minorHAnsi"/>
                <w:color w:val="000000"/>
              </w:rPr>
              <w:t>$222,443.76</w:t>
            </w:r>
          </w:p>
        </w:tc>
        <w:tc>
          <w:tcPr>
            <w:tcW w:w="2288" w:type="dxa"/>
          </w:tcPr>
          <w:p w:rsidR="007F6108" w:rsidRDefault="007F6108" w:rsidP="003C1C61">
            <w:pPr>
              <w:jc w:val="right"/>
              <w:rPr>
                <w:rFonts w:eastAsia="Times New Roman" w:cstheme="minorHAnsi"/>
                <w:color w:val="000000"/>
              </w:rPr>
            </w:pPr>
            <w:r>
              <w:rPr>
                <w:rFonts w:eastAsia="Times New Roman" w:cstheme="minorHAnsi"/>
                <w:color w:val="000000"/>
              </w:rPr>
              <w:t>$233,328.48</w:t>
            </w:r>
          </w:p>
        </w:tc>
        <w:tc>
          <w:tcPr>
            <w:tcW w:w="2206" w:type="dxa"/>
          </w:tcPr>
          <w:p w:rsidR="007F6108" w:rsidRDefault="007F6108" w:rsidP="003C1C61">
            <w:pPr>
              <w:jc w:val="right"/>
              <w:rPr>
                <w:rFonts w:eastAsia="Times New Roman" w:cstheme="minorHAnsi"/>
                <w:color w:val="000000"/>
              </w:rPr>
            </w:pPr>
            <w:r>
              <w:rPr>
                <w:rFonts w:eastAsia="Times New Roman" w:cstheme="minorHAnsi"/>
                <w:color w:val="000000"/>
              </w:rPr>
              <w:t>$13,431.74</w:t>
            </w:r>
          </w:p>
        </w:tc>
      </w:tr>
      <w:tr w:rsidR="007F6108" w:rsidTr="003C1C61">
        <w:trPr>
          <w:jc w:val="center"/>
        </w:trPr>
        <w:tc>
          <w:tcPr>
            <w:tcW w:w="2718" w:type="dxa"/>
          </w:tcPr>
          <w:p w:rsidR="007F6108" w:rsidRDefault="007F6108" w:rsidP="003C1C61">
            <w:pPr>
              <w:rPr>
                <w:rFonts w:eastAsia="Times New Roman" w:cstheme="minorHAnsi"/>
                <w:color w:val="000000"/>
              </w:rPr>
            </w:pPr>
            <w:r>
              <w:rPr>
                <w:rFonts w:eastAsia="Times New Roman" w:cstheme="minorHAnsi"/>
                <w:color w:val="000000"/>
              </w:rPr>
              <w:t>Non-Exempt</w:t>
            </w:r>
          </w:p>
        </w:tc>
        <w:tc>
          <w:tcPr>
            <w:tcW w:w="1481" w:type="dxa"/>
          </w:tcPr>
          <w:p w:rsidR="007F6108" w:rsidRDefault="007F6108" w:rsidP="003C1C61">
            <w:pPr>
              <w:jc w:val="center"/>
              <w:rPr>
                <w:rFonts w:eastAsia="Times New Roman" w:cstheme="minorHAnsi"/>
                <w:color w:val="000000"/>
              </w:rPr>
            </w:pPr>
            <w:r>
              <w:rPr>
                <w:rFonts w:eastAsia="Times New Roman" w:cstheme="minorHAnsi"/>
                <w:color w:val="000000"/>
              </w:rPr>
              <w:t>10</w:t>
            </w:r>
          </w:p>
        </w:tc>
        <w:tc>
          <w:tcPr>
            <w:tcW w:w="2323" w:type="dxa"/>
          </w:tcPr>
          <w:p w:rsidR="007F6108" w:rsidRDefault="007F6108" w:rsidP="003C1C61">
            <w:pPr>
              <w:jc w:val="right"/>
              <w:rPr>
                <w:rFonts w:eastAsia="Times New Roman" w:cstheme="minorHAnsi"/>
                <w:color w:val="000000"/>
              </w:rPr>
            </w:pPr>
            <w:r>
              <w:rPr>
                <w:rFonts w:eastAsia="Times New Roman" w:cstheme="minorHAnsi"/>
                <w:color w:val="000000"/>
              </w:rPr>
              <w:t>$431,711.28</w:t>
            </w:r>
          </w:p>
        </w:tc>
        <w:tc>
          <w:tcPr>
            <w:tcW w:w="2288" w:type="dxa"/>
          </w:tcPr>
          <w:p w:rsidR="007F6108" w:rsidRDefault="007F6108" w:rsidP="003C1C61">
            <w:pPr>
              <w:jc w:val="right"/>
              <w:rPr>
                <w:rFonts w:eastAsia="Times New Roman" w:cstheme="minorHAnsi"/>
                <w:color w:val="000000"/>
              </w:rPr>
            </w:pPr>
            <w:r>
              <w:rPr>
                <w:rFonts w:eastAsia="Times New Roman" w:cstheme="minorHAnsi"/>
                <w:color w:val="000000"/>
              </w:rPr>
              <w:t>$452,852.40</w:t>
            </w:r>
          </w:p>
        </w:tc>
        <w:tc>
          <w:tcPr>
            <w:tcW w:w="2206" w:type="dxa"/>
          </w:tcPr>
          <w:p w:rsidR="007F6108" w:rsidRDefault="007F6108" w:rsidP="003C1C61">
            <w:pPr>
              <w:jc w:val="right"/>
              <w:rPr>
                <w:rFonts w:eastAsia="Times New Roman" w:cstheme="minorHAnsi"/>
                <w:color w:val="000000"/>
              </w:rPr>
            </w:pPr>
            <w:r>
              <w:rPr>
                <w:rFonts w:eastAsia="Times New Roman" w:cstheme="minorHAnsi"/>
                <w:color w:val="000000"/>
              </w:rPr>
              <w:t>$26,088.14</w:t>
            </w:r>
          </w:p>
        </w:tc>
      </w:tr>
      <w:tr w:rsidR="007F6108" w:rsidRPr="00D654D3" w:rsidTr="003C1C61">
        <w:trPr>
          <w:jc w:val="center"/>
        </w:trPr>
        <w:tc>
          <w:tcPr>
            <w:tcW w:w="2718" w:type="dxa"/>
          </w:tcPr>
          <w:p w:rsidR="007F6108" w:rsidRPr="00D654D3" w:rsidRDefault="007F6108" w:rsidP="003C1C61">
            <w:pPr>
              <w:jc w:val="right"/>
              <w:rPr>
                <w:rFonts w:eastAsia="Times New Roman" w:cstheme="minorHAnsi"/>
                <w:b/>
                <w:color w:val="000000"/>
              </w:rPr>
            </w:pPr>
            <w:r>
              <w:rPr>
                <w:rFonts w:eastAsia="Times New Roman" w:cstheme="minorHAnsi"/>
                <w:b/>
                <w:color w:val="000000"/>
              </w:rPr>
              <w:t>TOTAL</w:t>
            </w:r>
          </w:p>
        </w:tc>
        <w:tc>
          <w:tcPr>
            <w:tcW w:w="1481"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38</w:t>
            </w:r>
          </w:p>
        </w:tc>
        <w:tc>
          <w:tcPr>
            <w:tcW w:w="2323" w:type="dxa"/>
          </w:tcPr>
          <w:p w:rsidR="007F6108" w:rsidRPr="00D654D3" w:rsidRDefault="007F6108" w:rsidP="003C1C61">
            <w:pPr>
              <w:jc w:val="right"/>
              <w:rPr>
                <w:rFonts w:eastAsia="Times New Roman" w:cstheme="minorHAnsi"/>
                <w:b/>
                <w:color w:val="000000"/>
              </w:rPr>
            </w:pPr>
            <w:r w:rsidRPr="00D654D3">
              <w:rPr>
                <w:rFonts w:eastAsia="Times New Roman" w:cstheme="minorHAnsi"/>
                <w:b/>
                <w:color w:val="000000"/>
              </w:rPr>
              <w:t>$1</w:t>
            </w:r>
            <w:r>
              <w:rPr>
                <w:rFonts w:eastAsia="Times New Roman" w:cstheme="minorHAnsi"/>
                <w:b/>
                <w:color w:val="000000"/>
              </w:rPr>
              <w:t>,430,019.36</w:t>
            </w:r>
          </w:p>
        </w:tc>
        <w:tc>
          <w:tcPr>
            <w:tcW w:w="2288" w:type="dxa"/>
          </w:tcPr>
          <w:p w:rsidR="007F6108" w:rsidRPr="00D654D3" w:rsidRDefault="007F6108" w:rsidP="003C1C61">
            <w:pPr>
              <w:jc w:val="right"/>
              <w:rPr>
                <w:rFonts w:eastAsia="Times New Roman" w:cstheme="minorHAnsi"/>
                <w:b/>
                <w:color w:val="000000"/>
              </w:rPr>
            </w:pPr>
            <w:r w:rsidRPr="00D654D3">
              <w:rPr>
                <w:rFonts w:eastAsia="Times New Roman" w:cstheme="minorHAnsi"/>
                <w:b/>
                <w:color w:val="000000"/>
              </w:rPr>
              <w:t>$1,</w:t>
            </w:r>
            <w:r>
              <w:rPr>
                <w:rFonts w:eastAsia="Times New Roman" w:cstheme="minorHAnsi"/>
                <w:b/>
                <w:color w:val="000000"/>
              </w:rPr>
              <w:t>500,187.92</w:t>
            </w:r>
          </w:p>
        </w:tc>
        <w:tc>
          <w:tcPr>
            <w:tcW w:w="2206" w:type="dxa"/>
          </w:tcPr>
          <w:p w:rsidR="007F6108" w:rsidRPr="00D654D3" w:rsidRDefault="007F6108" w:rsidP="003C1C61">
            <w:pPr>
              <w:jc w:val="right"/>
              <w:rPr>
                <w:rFonts w:eastAsia="Times New Roman" w:cstheme="minorHAnsi"/>
                <w:b/>
                <w:color w:val="000000"/>
              </w:rPr>
            </w:pPr>
            <w:r w:rsidRPr="00D654D3">
              <w:rPr>
                <w:rFonts w:eastAsia="Times New Roman" w:cstheme="minorHAnsi"/>
                <w:b/>
                <w:color w:val="000000"/>
              </w:rPr>
              <w:t>$</w:t>
            </w:r>
            <w:r>
              <w:rPr>
                <w:rFonts w:eastAsia="Times New Roman" w:cstheme="minorHAnsi"/>
                <w:b/>
                <w:color w:val="000000"/>
              </w:rPr>
              <w:t>86,588.00</w:t>
            </w:r>
          </w:p>
        </w:tc>
      </w:tr>
    </w:tbl>
    <w:p w:rsidR="007F6108" w:rsidRPr="00421B20" w:rsidRDefault="007F6108" w:rsidP="007F6108">
      <w:pPr>
        <w:spacing w:after="0"/>
        <w:rPr>
          <w:rFonts w:eastAsia="Times New Roman" w:cstheme="minorHAnsi"/>
          <w:color w:val="000000"/>
          <w:sz w:val="16"/>
          <w:szCs w:val="16"/>
        </w:rPr>
      </w:pPr>
    </w:p>
    <w:p w:rsidR="007F6108" w:rsidRDefault="007F6108" w:rsidP="007F6108">
      <w:pPr>
        <w:spacing w:after="0"/>
        <w:rPr>
          <w:rFonts w:eastAsia="Times New Roman" w:cstheme="minorHAnsi"/>
          <w:color w:val="000000"/>
        </w:rPr>
      </w:pPr>
      <w:r>
        <w:rPr>
          <w:rFonts w:eastAsia="Times New Roman" w:cstheme="minorHAnsi"/>
          <w:color w:val="000000"/>
        </w:rPr>
        <w:t xml:space="preserve">For Grade 10 in the Professional Management policy group, the salary range will be revised to increase the minimum by 10.7% to $45,414.00.  Doing this will help minimize the gap with the new threshold while still leaving adequate distance between Grade 10’s minimum and Grade 11’s minimum.  While Grade 10’s revised minimum does not meet the new threshold, new employees that move into the exempt positions can be placed at a minimum of step 3.  </w:t>
      </w:r>
    </w:p>
    <w:p w:rsidR="007F6108" w:rsidRPr="00421B20" w:rsidRDefault="007F6108" w:rsidP="007F6108">
      <w:pPr>
        <w:spacing w:after="0"/>
        <w:rPr>
          <w:rFonts w:eastAsia="Times New Roman" w:cstheme="minorHAnsi"/>
          <w:color w:val="000000"/>
          <w:sz w:val="16"/>
          <w:szCs w:val="16"/>
        </w:rPr>
      </w:pPr>
    </w:p>
    <w:p w:rsidR="007F6108" w:rsidRDefault="007F6108" w:rsidP="007F6108">
      <w:pPr>
        <w:spacing w:after="0"/>
        <w:rPr>
          <w:rFonts w:eastAsia="Times New Roman" w:cstheme="minorHAnsi"/>
          <w:color w:val="000000"/>
        </w:rPr>
      </w:pPr>
      <w:r>
        <w:rPr>
          <w:rFonts w:eastAsia="Times New Roman" w:cstheme="minorHAnsi"/>
          <w:color w:val="000000"/>
        </w:rPr>
        <w:t>Current FY 2017</w:t>
      </w:r>
    </w:p>
    <w:p w:rsidR="007F6108" w:rsidRDefault="007F6108" w:rsidP="007F6108">
      <w:pPr>
        <w:spacing w:after="0"/>
        <w:rPr>
          <w:rFonts w:eastAsia="Times New Roman" w:cstheme="minorHAnsi"/>
          <w:color w:val="000000"/>
        </w:rPr>
      </w:pPr>
      <w:r>
        <w:rPr>
          <w:rFonts w:eastAsia="Times New Roman" w:cstheme="minorHAnsi"/>
          <w:noProof/>
          <w:color w:val="000000"/>
        </w:rPr>
        <w:drawing>
          <wp:inline distT="0" distB="0" distL="0" distR="0" wp14:anchorId="7DEC4210" wp14:editId="6BAF5C1E">
            <wp:extent cx="6891963" cy="562707"/>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1963" cy="562707"/>
                    </a:xfrm>
                    <a:prstGeom prst="rect">
                      <a:avLst/>
                    </a:prstGeom>
                    <a:noFill/>
                    <a:ln>
                      <a:noFill/>
                    </a:ln>
                  </pic:spPr>
                </pic:pic>
              </a:graphicData>
            </a:graphic>
          </wp:inline>
        </w:drawing>
      </w:r>
    </w:p>
    <w:p w:rsidR="007F6108" w:rsidRDefault="007F6108" w:rsidP="007F6108">
      <w:pPr>
        <w:spacing w:after="0"/>
        <w:rPr>
          <w:rFonts w:eastAsia="Times New Roman" w:cstheme="minorHAnsi"/>
          <w:color w:val="000000"/>
        </w:rPr>
      </w:pPr>
      <w:r>
        <w:rPr>
          <w:rFonts w:eastAsia="Times New Roman" w:cstheme="minorHAnsi"/>
          <w:color w:val="000000"/>
        </w:rPr>
        <w:t>Revised FY 2017</w:t>
      </w:r>
    </w:p>
    <w:p w:rsidR="007F6108" w:rsidRPr="008903C7" w:rsidRDefault="007F6108" w:rsidP="007F6108">
      <w:pPr>
        <w:spacing w:after="0"/>
        <w:rPr>
          <w:rFonts w:eastAsia="Times New Roman" w:cstheme="minorHAnsi"/>
          <w:color w:val="000000"/>
        </w:rPr>
      </w:pPr>
      <w:r>
        <w:rPr>
          <w:rFonts w:eastAsia="Times New Roman" w:cstheme="minorHAnsi"/>
          <w:noProof/>
          <w:color w:val="000000"/>
        </w:rPr>
        <w:drawing>
          <wp:inline distT="0" distB="0" distL="0" distR="0" wp14:anchorId="416DD1ED" wp14:editId="2D1B41A6">
            <wp:extent cx="6889063" cy="5802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3060" cy="583998"/>
                    </a:xfrm>
                    <a:prstGeom prst="rect">
                      <a:avLst/>
                    </a:prstGeom>
                    <a:noFill/>
                    <a:ln>
                      <a:noFill/>
                    </a:ln>
                  </pic:spPr>
                </pic:pic>
              </a:graphicData>
            </a:graphic>
          </wp:inline>
        </w:drawing>
      </w:r>
    </w:p>
    <w:p w:rsidR="007F6108" w:rsidRPr="00421B20" w:rsidRDefault="007F6108" w:rsidP="007F6108">
      <w:pPr>
        <w:spacing w:after="0"/>
        <w:rPr>
          <w:rFonts w:eastAsia="Times New Roman" w:cstheme="minorHAnsi"/>
          <w:b/>
          <w:color w:val="000000"/>
          <w:sz w:val="16"/>
          <w:szCs w:val="16"/>
        </w:rPr>
      </w:pPr>
    </w:p>
    <w:p w:rsidR="007F6108" w:rsidRDefault="007F6108" w:rsidP="007F6108">
      <w:pPr>
        <w:spacing w:after="0"/>
        <w:rPr>
          <w:rFonts w:eastAsia="Times New Roman" w:cstheme="minorHAnsi"/>
          <w:color w:val="000000"/>
        </w:rPr>
      </w:pPr>
      <w:r>
        <w:rPr>
          <w:rFonts w:eastAsia="Times New Roman" w:cstheme="minorHAnsi"/>
          <w:color w:val="000000"/>
        </w:rPr>
        <w:t>Exempt employees that are under the new threshold will move to step 3 in the revised Grade 10 scale, while all other employees will move to the closest step without losing money. The table below shows a summary of the cost of this change to existing employees.</w:t>
      </w:r>
    </w:p>
    <w:p w:rsidR="007F6108" w:rsidRDefault="007F6108" w:rsidP="007F6108">
      <w:pPr>
        <w:spacing w:after="0"/>
        <w:rPr>
          <w:rFonts w:eastAsia="Times New Roman" w:cstheme="minorHAnsi"/>
          <w:color w:val="000000"/>
        </w:rPr>
      </w:pPr>
    </w:p>
    <w:tbl>
      <w:tblPr>
        <w:tblStyle w:val="TableGrid"/>
        <w:tblW w:w="0" w:type="auto"/>
        <w:jc w:val="center"/>
        <w:tblLook w:val="04A0" w:firstRow="1" w:lastRow="0" w:firstColumn="1" w:lastColumn="0" w:noHBand="0" w:noVBand="1"/>
      </w:tblPr>
      <w:tblGrid>
        <w:gridCol w:w="2718"/>
        <w:gridCol w:w="1481"/>
        <w:gridCol w:w="2323"/>
        <w:gridCol w:w="2288"/>
        <w:gridCol w:w="2206"/>
      </w:tblGrid>
      <w:tr w:rsidR="007F6108" w:rsidRPr="00D654D3" w:rsidTr="003C1C61">
        <w:trPr>
          <w:jc w:val="center"/>
        </w:trPr>
        <w:tc>
          <w:tcPr>
            <w:tcW w:w="2718"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PM, Grade 10 Employees</w:t>
            </w:r>
          </w:p>
        </w:tc>
        <w:tc>
          <w:tcPr>
            <w:tcW w:w="1481"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 of Employees</w:t>
            </w:r>
          </w:p>
        </w:tc>
        <w:tc>
          <w:tcPr>
            <w:tcW w:w="2323" w:type="dxa"/>
          </w:tcPr>
          <w:p w:rsidR="007F6108" w:rsidRDefault="007F6108" w:rsidP="003C1C61">
            <w:pPr>
              <w:jc w:val="center"/>
              <w:rPr>
                <w:rFonts w:eastAsia="Times New Roman" w:cstheme="minorHAnsi"/>
                <w:b/>
                <w:color w:val="000000"/>
              </w:rPr>
            </w:pPr>
            <w:r w:rsidRPr="00D654D3">
              <w:rPr>
                <w:rFonts w:eastAsia="Times New Roman" w:cstheme="minorHAnsi"/>
                <w:b/>
                <w:color w:val="000000"/>
              </w:rPr>
              <w:t>Current Salaries</w:t>
            </w:r>
          </w:p>
          <w:p w:rsidR="007F6108" w:rsidRPr="008903C7" w:rsidRDefault="007F6108" w:rsidP="003C1C61">
            <w:pPr>
              <w:jc w:val="center"/>
              <w:rPr>
                <w:rFonts w:eastAsia="Times New Roman" w:cstheme="minorHAnsi"/>
                <w:b/>
                <w:color w:val="000000"/>
                <w:sz w:val="16"/>
                <w:szCs w:val="16"/>
              </w:rPr>
            </w:pPr>
            <w:r w:rsidRPr="008903C7">
              <w:rPr>
                <w:rFonts w:eastAsia="Times New Roman" w:cstheme="minorHAnsi"/>
                <w:b/>
                <w:color w:val="000000"/>
                <w:sz w:val="16"/>
                <w:szCs w:val="16"/>
              </w:rPr>
              <w:t>(Effective 11/19/2016)</w:t>
            </w:r>
          </w:p>
        </w:tc>
        <w:tc>
          <w:tcPr>
            <w:tcW w:w="2288" w:type="dxa"/>
          </w:tcPr>
          <w:p w:rsidR="007F6108" w:rsidRDefault="007F6108" w:rsidP="003C1C61">
            <w:pPr>
              <w:jc w:val="center"/>
              <w:rPr>
                <w:rFonts w:eastAsia="Times New Roman" w:cstheme="minorHAnsi"/>
                <w:b/>
                <w:color w:val="000000"/>
              </w:rPr>
            </w:pPr>
            <w:r>
              <w:rPr>
                <w:rFonts w:eastAsia="Times New Roman" w:cstheme="minorHAnsi"/>
                <w:b/>
                <w:color w:val="000000"/>
              </w:rPr>
              <w:t>Adjusted Salaries</w:t>
            </w:r>
          </w:p>
          <w:p w:rsidR="007F6108" w:rsidRPr="008903C7" w:rsidRDefault="007F6108" w:rsidP="003C1C61">
            <w:pPr>
              <w:jc w:val="center"/>
              <w:rPr>
                <w:rFonts w:eastAsia="Times New Roman" w:cstheme="minorHAnsi"/>
                <w:b/>
                <w:color w:val="000000"/>
                <w:sz w:val="16"/>
                <w:szCs w:val="16"/>
              </w:rPr>
            </w:pPr>
            <w:r w:rsidRPr="008903C7">
              <w:rPr>
                <w:rFonts w:eastAsia="Times New Roman" w:cstheme="minorHAnsi"/>
                <w:b/>
                <w:color w:val="000000"/>
                <w:sz w:val="16"/>
                <w:szCs w:val="16"/>
              </w:rPr>
              <w:t>(Effective 11/19/2016)</w:t>
            </w:r>
          </w:p>
        </w:tc>
        <w:tc>
          <w:tcPr>
            <w:tcW w:w="2206" w:type="dxa"/>
          </w:tcPr>
          <w:p w:rsidR="007F6108" w:rsidRPr="00D654D3" w:rsidRDefault="007F6108" w:rsidP="003C1C61">
            <w:pPr>
              <w:jc w:val="center"/>
              <w:rPr>
                <w:rFonts w:eastAsia="Times New Roman" w:cstheme="minorHAnsi"/>
                <w:b/>
                <w:color w:val="000000"/>
              </w:rPr>
            </w:pPr>
            <w:r w:rsidRPr="00D654D3">
              <w:rPr>
                <w:rFonts w:eastAsia="Times New Roman" w:cstheme="minorHAnsi"/>
                <w:b/>
                <w:color w:val="000000"/>
              </w:rPr>
              <w:t>Difference</w:t>
            </w:r>
            <w:r>
              <w:rPr>
                <w:rFonts w:eastAsia="Times New Roman" w:cstheme="minorHAnsi"/>
                <w:b/>
                <w:color w:val="000000"/>
              </w:rPr>
              <w:t xml:space="preserve"> including Payroll Burden</w:t>
            </w:r>
          </w:p>
        </w:tc>
      </w:tr>
      <w:tr w:rsidR="007F6108" w:rsidTr="003C1C61">
        <w:trPr>
          <w:jc w:val="center"/>
        </w:trPr>
        <w:tc>
          <w:tcPr>
            <w:tcW w:w="2718" w:type="dxa"/>
          </w:tcPr>
          <w:p w:rsidR="007F6108" w:rsidRDefault="007F6108" w:rsidP="003C1C61">
            <w:pPr>
              <w:rPr>
                <w:rFonts w:eastAsia="Times New Roman" w:cstheme="minorHAnsi"/>
                <w:color w:val="000000"/>
              </w:rPr>
            </w:pPr>
            <w:r>
              <w:rPr>
                <w:rFonts w:eastAsia="Times New Roman" w:cstheme="minorHAnsi"/>
                <w:color w:val="000000"/>
              </w:rPr>
              <w:t>Exempt under Threshold</w:t>
            </w:r>
          </w:p>
        </w:tc>
        <w:tc>
          <w:tcPr>
            <w:tcW w:w="1481" w:type="dxa"/>
          </w:tcPr>
          <w:p w:rsidR="007F6108" w:rsidRDefault="007F6108" w:rsidP="003C1C61">
            <w:pPr>
              <w:jc w:val="center"/>
              <w:rPr>
                <w:rFonts w:eastAsia="Times New Roman" w:cstheme="minorHAnsi"/>
                <w:color w:val="000000"/>
              </w:rPr>
            </w:pPr>
            <w:r>
              <w:rPr>
                <w:rFonts w:eastAsia="Times New Roman" w:cstheme="minorHAnsi"/>
                <w:color w:val="000000"/>
              </w:rPr>
              <w:t>19</w:t>
            </w:r>
          </w:p>
        </w:tc>
        <w:tc>
          <w:tcPr>
            <w:tcW w:w="2323" w:type="dxa"/>
          </w:tcPr>
          <w:p w:rsidR="007F6108" w:rsidRDefault="007F6108" w:rsidP="003C1C61">
            <w:pPr>
              <w:jc w:val="right"/>
              <w:rPr>
                <w:rFonts w:eastAsia="Times New Roman" w:cstheme="minorHAnsi"/>
                <w:color w:val="000000"/>
              </w:rPr>
            </w:pPr>
            <w:r>
              <w:rPr>
                <w:rFonts w:eastAsia="Times New Roman" w:cstheme="minorHAnsi"/>
                <w:color w:val="000000"/>
              </w:rPr>
              <w:t>$746,296.32</w:t>
            </w:r>
          </w:p>
        </w:tc>
        <w:tc>
          <w:tcPr>
            <w:tcW w:w="2288" w:type="dxa"/>
          </w:tcPr>
          <w:p w:rsidR="007F6108" w:rsidRDefault="007F6108" w:rsidP="003C1C61">
            <w:pPr>
              <w:jc w:val="right"/>
              <w:rPr>
                <w:rFonts w:eastAsia="Times New Roman" w:cstheme="minorHAnsi"/>
                <w:color w:val="000000"/>
              </w:rPr>
            </w:pPr>
            <w:r>
              <w:rPr>
                <w:rFonts w:eastAsia="Times New Roman" w:cstheme="minorHAnsi"/>
                <w:color w:val="000000"/>
              </w:rPr>
              <w:t>$799,854.02</w:t>
            </w:r>
          </w:p>
        </w:tc>
        <w:tc>
          <w:tcPr>
            <w:tcW w:w="2206" w:type="dxa"/>
          </w:tcPr>
          <w:p w:rsidR="007F6108" w:rsidRDefault="007F6108" w:rsidP="003C1C61">
            <w:pPr>
              <w:jc w:val="right"/>
              <w:rPr>
                <w:rFonts w:eastAsia="Times New Roman" w:cstheme="minorHAnsi"/>
                <w:color w:val="000000"/>
              </w:rPr>
            </w:pPr>
            <w:r>
              <w:rPr>
                <w:rFonts w:eastAsia="Times New Roman" w:cstheme="minorHAnsi"/>
                <w:color w:val="000000"/>
              </w:rPr>
              <w:t>$66,090.20</w:t>
            </w:r>
          </w:p>
        </w:tc>
      </w:tr>
      <w:tr w:rsidR="007F6108" w:rsidTr="003C1C61">
        <w:trPr>
          <w:jc w:val="center"/>
        </w:trPr>
        <w:tc>
          <w:tcPr>
            <w:tcW w:w="2718" w:type="dxa"/>
          </w:tcPr>
          <w:p w:rsidR="007F6108" w:rsidRDefault="007F6108" w:rsidP="003C1C61">
            <w:pPr>
              <w:rPr>
                <w:rFonts w:eastAsia="Times New Roman" w:cstheme="minorHAnsi"/>
                <w:color w:val="000000"/>
              </w:rPr>
            </w:pPr>
            <w:r>
              <w:rPr>
                <w:rFonts w:eastAsia="Times New Roman" w:cstheme="minorHAnsi"/>
                <w:color w:val="000000"/>
              </w:rPr>
              <w:t>Exempt over Threshold</w:t>
            </w:r>
          </w:p>
        </w:tc>
        <w:tc>
          <w:tcPr>
            <w:tcW w:w="1481" w:type="dxa"/>
          </w:tcPr>
          <w:p w:rsidR="007F6108" w:rsidRDefault="007F6108" w:rsidP="003C1C61">
            <w:pPr>
              <w:jc w:val="center"/>
              <w:rPr>
                <w:rFonts w:eastAsia="Times New Roman" w:cstheme="minorHAnsi"/>
                <w:color w:val="000000"/>
              </w:rPr>
            </w:pPr>
            <w:r>
              <w:rPr>
                <w:rFonts w:eastAsia="Times New Roman" w:cstheme="minorHAnsi"/>
                <w:color w:val="000000"/>
              </w:rPr>
              <w:t>20</w:t>
            </w:r>
          </w:p>
        </w:tc>
        <w:tc>
          <w:tcPr>
            <w:tcW w:w="2323" w:type="dxa"/>
          </w:tcPr>
          <w:p w:rsidR="007F6108" w:rsidRDefault="007F6108" w:rsidP="003C1C61">
            <w:pPr>
              <w:jc w:val="right"/>
              <w:rPr>
                <w:rFonts w:eastAsia="Times New Roman" w:cstheme="minorHAnsi"/>
                <w:color w:val="000000"/>
              </w:rPr>
            </w:pPr>
            <w:r>
              <w:rPr>
                <w:rFonts w:eastAsia="Times New Roman" w:cstheme="minorHAnsi"/>
                <w:color w:val="000000"/>
              </w:rPr>
              <w:t>$940,299.36</w:t>
            </w:r>
          </w:p>
        </w:tc>
        <w:tc>
          <w:tcPr>
            <w:tcW w:w="2288" w:type="dxa"/>
          </w:tcPr>
          <w:p w:rsidR="007F6108" w:rsidRDefault="007F6108" w:rsidP="003C1C61">
            <w:pPr>
              <w:jc w:val="right"/>
              <w:rPr>
                <w:rFonts w:eastAsia="Times New Roman" w:cstheme="minorHAnsi"/>
                <w:color w:val="000000"/>
              </w:rPr>
            </w:pPr>
            <w:r>
              <w:rPr>
                <w:rFonts w:eastAsia="Times New Roman" w:cstheme="minorHAnsi"/>
                <w:color w:val="000000"/>
              </w:rPr>
              <w:t>$948,818.64</w:t>
            </w:r>
          </w:p>
        </w:tc>
        <w:tc>
          <w:tcPr>
            <w:tcW w:w="2206" w:type="dxa"/>
          </w:tcPr>
          <w:p w:rsidR="007F6108" w:rsidRDefault="007F6108" w:rsidP="003C1C61">
            <w:pPr>
              <w:jc w:val="right"/>
              <w:rPr>
                <w:rFonts w:eastAsia="Times New Roman" w:cstheme="minorHAnsi"/>
                <w:color w:val="000000"/>
              </w:rPr>
            </w:pPr>
            <w:r>
              <w:rPr>
                <w:rFonts w:eastAsia="Times New Roman" w:cstheme="minorHAnsi"/>
                <w:color w:val="000000"/>
              </w:rPr>
              <w:t>$10,512.79</w:t>
            </w:r>
          </w:p>
        </w:tc>
      </w:tr>
      <w:tr w:rsidR="007F6108" w:rsidTr="003C1C61">
        <w:trPr>
          <w:jc w:val="center"/>
        </w:trPr>
        <w:tc>
          <w:tcPr>
            <w:tcW w:w="2718" w:type="dxa"/>
          </w:tcPr>
          <w:p w:rsidR="007F6108" w:rsidRDefault="007F6108" w:rsidP="003C1C61">
            <w:pPr>
              <w:rPr>
                <w:rFonts w:eastAsia="Times New Roman" w:cstheme="minorHAnsi"/>
                <w:color w:val="000000"/>
              </w:rPr>
            </w:pPr>
            <w:r>
              <w:rPr>
                <w:rFonts w:eastAsia="Times New Roman" w:cstheme="minorHAnsi"/>
                <w:color w:val="000000"/>
              </w:rPr>
              <w:t>Non-Exempt</w:t>
            </w:r>
          </w:p>
        </w:tc>
        <w:tc>
          <w:tcPr>
            <w:tcW w:w="1481" w:type="dxa"/>
          </w:tcPr>
          <w:p w:rsidR="007F6108" w:rsidRDefault="007F6108" w:rsidP="003C1C61">
            <w:pPr>
              <w:jc w:val="center"/>
              <w:rPr>
                <w:rFonts w:eastAsia="Times New Roman" w:cstheme="minorHAnsi"/>
                <w:color w:val="000000"/>
              </w:rPr>
            </w:pPr>
            <w:r>
              <w:rPr>
                <w:rFonts w:eastAsia="Times New Roman" w:cstheme="minorHAnsi"/>
                <w:color w:val="000000"/>
              </w:rPr>
              <w:t>12</w:t>
            </w:r>
          </w:p>
        </w:tc>
        <w:tc>
          <w:tcPr>
            <w:tcW w:w="2323" w:type="dxa"/>
          </w:tcPr>
          <w:p w:rsidR="007F6108" w:rsidRDefault="007F6108" w:rsidP="003C1C61">
            <w:pPr>
              <w:jc w:val="right"/>
              <w:rPr>
                <w:rFonts w:eastAsia="Times New Roman" w:cstheme="minorHAnsi"/>
                <w:color w:val="000000"/>
              </w:rPr>
            </w:pPr>
            <w:r>
              <w:rPr>
                <w:rFonts w:eastAsia="Times New Roman" w:cstheme="minorHAnsi"/>
                <w:color w:val="000000"/>
              </w:rPr>
              <w:t>$583,931.04</w:t>
            </w:r>
          </w:p>
        </w:tc>
        <w:tc>
          <w:tcPr>
            <w:tcW w:w="2288" w:type="dxa"/>
          </w:tcPr>
          <w:p w:rsidR="007F6108" w:rsidRDefault="007F6108" w:rsidP="003C1C61">
            <w:pPr>
              <w:jc w:val="right"/>
              <w:rPr>
                <w:rFonts w:eastAsia="Times New Roman" w:cstheme="minorHAnsi"/>
                <w:color w:val="000000"/>
              </w:rPr>
            </w:pPr>
            <w:r>
              <w:rPr>
                <w:rFonts w:eastAsia="Times New Roman" w:cstheme="minorHAnsi"/>
                <w:color w:val="000000"/>
              </w:rPr>
              <w:t>$589,438.08</w:t>
            </w:r>
          </w:p>
        </w:tc>
        <w:tc>
          <w:tcPr>
            <w:tcW w:w="2206" w:type="dxa"/>
          </w:tcPr>
          <w:p w:rsidR="007F6108" w:rsidRDefault="007F6108" w:rsidP="003C1C61">
            <w:pPr>
              <w:jc w:val="right"/>
              <w:rPr>
                <w:rFonts w:eastAsia="Times New Roman" w:cstheme="minorHAnsi"/>
                <w:color w:val="000000"/>
              </w:rPr>
            </w:pPr>
            <w:r>
              <w:rPr>
                <w:rFonts w:eastAsia="Times New Roman" w:cstheme="minorHAnsi"/>
                <w:color w:val="000000"/>
              </w:rPr>
              <w:t>$6,795.69</w:t>
            </w:r>
          </w:p>
        </w:tc>
      </w:tr>
      <w:tr w:rsidR="007F6108" w:rsidRPr="00D654D3" w:rsidTr="003C1C61">
        <w:trPr>
          <w:jc w:val="center"/>
        </w:trPr>
        <w:tc>
          <w:tcPr>
            <w:tcW w:w="2718" w:type="dxa"/>
          </w:tcPr>
          <w:p w:rsidR="007F6108" w:rsidRPr="00D654D3" w:rsidRDefault="007F6108" w:rsidP="003C1C61">
            <w:pPr>
              <w:jc w:val="right"/>
              <w:rPr>
                <w:rFonts w:eastAsia="Times New Roman" w:cstheme="minorHAnsi"/>
                <w:b/>
                <w:color w:val="000000"/>
              </w:rPr>
            </w:pPr>
            <w:r>
              <w:rPr>
                <w:rFonts w:eastAsia="Times New Roman" w:cstheme="minorHAnsi"/>
                <w:b/>
                <w:color w:val="000000"/>
              </w:rPr>
              <w:t>TOTAL</w:t>
            </w:r>
          </w:p>
        </w:tc>
        <w:tc>
          <w:tcPr>
            <w:tcW w:w="1481"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51</w:t>
            </w:r>
          </w:p>
        </w:tc>
        <w:tc>
          <w:tcPr>
            <w:tcW w:w="2323" w:type="dxa"/>
          </w:tcPr>
          <w:p w:rsidR="007F6108" w:rsidRPr="00D654D3" w:rsidRDefault="007F6108" w:rsidP="003C1C61">
            <w:pPr>
              <w:jc w:val="right"/>
              <w:rPr>
                <w:rFonts w:eastAsia="Times New Roman" w:cstheme="minorHAnsi"/>
                <w:b/>
                <w:color w:val="000000"/>
              </w:rPr>
            </w:pPr>
            <w:r w:rsidRPr="00D654D3">
              <w:rPr>
                <w:rFonts w:eastAsia="Times New Roman" w:cstheme="minorHAnsi"/>
                <w:b/>
                <w:color w:val="000000"/>
              </w:rPr>
              <w:t>$</w:t>
            </w:r>
            <w:r>
              <w:rPr>
                <w:rFonts w:eastAsia="Times New Roman" w:cstheme="minorHAnsi"/>
                <w:b/>
                <w:color w:val="000000"/>
              </w:rPr>
              <w:t>2,270,526.72</w:t>
            </w:r>
          </w:p>
        </w:tc>
        <w:tc>
          <w:tcPr>
            <w:tcW w:w="2288" w:type="dxa"/>
          </w:tcPr>
          <w:p w:rsidR="007F6108" w:rsidRPr="00D654D3" w:rsidRDefault="007F6108" w:rsidP="003C1C61">
            <w:pPr>
              <w:jc w:val="right"/>
              <w:rPr>
                <w:rFonts w:eastAsia="Times New Roman" w:cstheme="minorHAnsi"/>
                <w:b/>
                <w:color w:val="000000"/>
              </w:rPr>
            </w:pPr>
            <w:r w:rsidRPr="00D654D3">
              <w:rPr>
                <w:rFonts w:eastAsia="Times New Roman" w:cstheme="minorHAnsi"/>
                <w:b/>
                <w:color w:val="000000"/>
              </w:rPr>
              <w:t>$</w:t>
            </w:r>
            <w:r>
              <w:rPr>
                <w:rFonts w:eastAsia="Times New Roman" w:cstheme="minorHAnsi"/>
                <w:b/>
                <w:color w:val="000000"/>
              </w:rPr>
              <w:t>2,338,110.74</w:t>
            </w:r>
          </w:p>
        </w:tc>
        <w:tc>
          <w:tcPr>
            <w:tcW w:w="2206" w:type="dxa"/>
          </w:tcPr>
          <w:p w:rsidR="007F6108" w:rsidRPr="00D654D3" w:rsidRDefault="007F6108" w:rsidP="003C1C61">
            <w:pPr>
              <w:jc w:val="right"/>
              <w:rPr>
                <w:rFonts w:eastAsia="Times New Roman" w:cstheme="minorHAnsi"/>
                <w:b/>
                <w:color w:val="000000"/>
              </w:rPr>
            </w:pPr>
            <w:r w:rsidRPr="00D654D3">
              <w:rPr>
                <w:rFonts w:eastAsia="Times New Roman" w:cstheme="minorHAnsi"/>
                <w:b/>
                <w:color w:val="000000"/>
              </w:rPr>
              <w:t>$</w:t>
            </w:r>
            <w:r>
              <w:rPr>
                <w:rFonts w:eastAsia="Times New Roman" w:cstheme="minorHAnsi"/>
                <w:b/>
                <w:color w:val="000000"/>
              </w:rPr>
              <w:t>83,398.68</w:t>
            </w:r>
          </w:p>
        </w:tc>
      </w:tr>
    </w:tbl>
    <w:p w:rsidR="007F6108" w:rsidRDefault="007F6108" w:rsidP="007F6108">
      <w:pPr>
        <w:spacing w:after="0"/>
        <w:rPr>
          <w:rFonts w:eastAsia="Times New Roman" w:cstheme="minorHAnsi"/>
          <w:b/>
          <w:color w:val="000000"/>
        </w:rPr>
      </w:pPr>
    </w:p>
    <w:p w:rsidR="007F6108" w:rsidRDefault="007F6108" w:rsidP="007F6108">
      <w:pPr>
        <w:spacing w:after="0"/>
        <w:rPr>
          <w:rFonts w:eastAsia="Times New Roman" w:cstheme="minorHAnsi"/>
          <w:color w:val="000000"/>
        </w:rPr>
      </w:pPr>
      <w:r>
        <w:rPr>
          <w:rFonts w:eastAsia="Times New Roman" w:cstheme="minorHAnsi"/>
          <w:color w:val="000000"/>
        </w:rPr>
        <w:t>In order to meet the December 1</w:t>
      </w:r>
      <w:r w:rsidRPr="002763B9">
        <w:rPr>
          <w:rFonts w:eastAsia="Times New Roman" w:cstheme="minorHAnsi"/>
          <w:color w:val="000000"/>
          <w:vertAlign w:val="superscript"/>
        </w:rPr>
        <w:t>st</w:t>
      </w:r>
      <w:r>
        <w:rPr>
          <w:rFonts w:eastAsia="Times New Roman" w:cstheme="minorHAnsi"/>
          <w:color w:val="000000"/>
        </w:rPr>
        <w:t xml:space="preserve"> 2016 deadline, the changes must be effective on November 19, 2016, Payroll #25. Table below shows a summary of the total cost of both changes to existing employees.</w:t>
      </w:r>
    </w:p>
    <w:p w:rsidR="007F6108" w:rsidRPr="00CF2F1B" w:rsidRDefault="007F6108" w:rsidP="007F6108">
      <w:pPr>
        <w:spacing w:after="0"/>
        <w:rPr>
          <w:rFonts w:eastAsia="Times New Roman" w:cstheme="minorHAnsi"/>
          <w:color w:val="000000"/>
          <w:sz w:val="16"/>
          <w:szCs w:val="16"/>
        </w:rPr>
      </w:pPr>
    </w:p>
    <w:tbl>
      <w:tblPr>
        <w:tblStyle w:val="TableGrid"/>
        <w:tblW w:w="0" w:type="auto"/>
        <w:jc w:val="center"/>
        <w:tblLook w:val="04A0" w:firstRow="1" w:lastRow="0" w:firstColumn="1" w:lastColumn="0" w:noHBand="0" w:noVBand="1"/>
      </w:tblPr>
      <w:tblGrid>
        <w:gridCol w:w="2718"/>
        <w:gridCol w:w="1481"/>
        <w:gridCol w:w="2323"/>
        <w:gridCol w:w="2288"/>
        <w:gridCol w:w="2206"/>
      </w:tblGrid>
      <w:tr w:rsidR="007F6108" w:rsidRPr="00D654D3" w:rsidTr="003C1C61">
        <w:trPr>
          <w:jc w:val="center"/>
        </w:trPr>
        <w:tc>
          <w:tcPr>
            <w:tcW w:w="2718" w:type="dxa"/>
          </w:tcPr>
          <w:p w:rsidR="007F6108" w:rsidRPr="00D654D3" w:rsidRDefault="007F6108" w:rsidP="003C1C61">
            <w:pPr>
              <w:jc w:val="center"/>
              <w:rPr>
                <w:rFonts w:eastAsia="Times New Roman" w:cstheme="minorHAnsi"/>
                <w:b/>
                <w:color w:val="000000"/>
              </w:rPr>
            </w:pPr>
            <w:r w:rsidRPr="00D654D3">
              <w:rPr>
                <w:rFonts w:eastAsia="Times New Roman" w:cstheme="minorHAnsi"/>
                <w:b/>
                <w:color w:val="000000"/>
              </w:rPr>
              <w:t>Status</w:t>
            </w:r>
          </w:p>
        </w:tc>
        <w:tc>
          <w:tcPr>
            <w:tcW w:w="1481"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 of Employees</w:t>
            </w:r>
          </w:p>
        </w:tc>
        <w:tc>
          <w:tcPr>
            <w:tcW w:w="2323" w:type="dxa"/>
          </w:tcPr>
          <w:p w:rsidR="007F6108" w:rsidRDefault="007F6108" w:rsidP="003C1C61">
            <w:pPr>
              <w:jc w:val="center"/>
              <w:rPr>
                <w:rFonts w:eastAsia="Times New Roman" w:cstheme="minorHAnsi"/>
                <w:b/>
                <w:color w:val="000000"/>
              </w:rPr>
            </w:pPr>
            <w:r w:rsidRPr="00D654D3">
              <w:rPr>
                <w:rFonts w:eastAsia="Times New Roman" w:cstheme="minorHAnsi"/>
                <w:b/>
                <w:color w:val="000000"/>
              </w:rPr>
              <w:t>Current Salaries</w:t>
            </w:r>
          </w:p>
          <w:p w:rsidR="007F6108" w:rsidRPr="008903C7" w:rsidRDefault="007F6108" w:rsidP="003C1C61">
            <w:pPr>
              <w:jc w:val="center"/>
              <w:rPr>
                <w:rFonts w:eastAsia="Times New Roman" w:cstheme="minorHAnsi"/>
                <w:b/>
                <w:color w:val="000000"/>
                <w:sz w:val="16"/>
                <w:szCs w:val="16"/>
              </w:rPr>
            </w:pPr>
            <w:r w:rsidRPr="008903C7">
              <w:rPr>
                <w:rFonts w:eastAsia="Times New Roman" w:cstheme="minorHAnsi"/>
                <w:b/>
                <w:color w:val="000000"/>
                <w:sz w:val="16"/>
                <w:szCs w:val="16"/>
              </w:rPr>
              <w:t>(Effective 11/19/2016)</w:t>
            </w:r>
          </w:p>
        </w:tc>
        <w:tc>
          <w:tcPr>
            <w:tcW w:w="2288" w:type="dxa"/>
          </w:tcPr>
          <w:p w:rsidR="007F6108" w:rsidRDefault="007F6108" w:rsidP="003C1C61">
            <w:pPr>
              <w:jc w:val="center"/>
              <w:rPr>
                <w:rFonts w:eastAsia="Times New Roman" w:cstheme="minorHAnsi"/>
                <w:b/>
                <w:color w:val="000000"/>
              </w:rPr>
            </w:pPr>
            <w:r>
              <w:rPr>
                <w:rFonts w:eastAsia="Times New Roman" w:cstheme="minorHAnsi"/>
                <w:b/>
                <w:color w:val="000000"/>
              </w:rPr>
              <w:t>Adjusted Salaries</w:t>
            </w:r>
          </w:p>
          <w:p w:rsidR="007F6108" w:rsidRPr="008903C7" w:rsidRDefault="007F6108" w:rsidP="003C1C61">
            <w:pPr>
              <w:jc w:val="center"/>
              <w:rPr>
                <w:rFonts w:eastAsia="Times New Roman" w:cstheme="minorHAnsi"/>
                <w:b/>
                <w:color w:val="000000"/>
                <w:sz w:val="16"/>
                <w:szCs w:val="16"/>
              </w:rPr>
            </w:pPr>
            <w:r w:rsidRPr="008903C7">
              <w:rPr>
                <w:rFonts w:eastAsia="Times New Roman" w:cstheme="minorHAnsi"/>
                <w:b/>
                <w:color w:val="000000"/>
                <w:sz w:val="16"/>
                <w:szCs w:val="16"/>
              </w:rPr>
              <w:t>(Effective 11/19/2016)</w:t>
            </w:r>
          </w:p>
        </w:tc>
        <w:tc>
          <w:tcPr>
            <w:tcW w:w="2206" w:type="dxa"/>
          </w:tcPr>
          <w:p w:rsidR="007F6108" w:rsidRPr="00D654D3" w:rsidRDefault="007F6108" w:rsidP="003C1C61">
            <w:pPr>
              <w:jc w:val="center"/>
              <w:rPr>
                <w:rFonts w:eastAsia="Times New Roman" w:cstheme="minorHAnsi"/>
                <w:b/>
                <w:color w:val="000000"/>
              </w:rPr>
            </w:pPr>
            <w:r w:rsidRPr="00D654D3">
              <w:rPr>
                <w:rFonts w:eastAsia="Times New Roman" w:cstheme="minorHAnsi"/>
                <w:b/>
                <w:color w:val="000000"/>
              </w:rPr>
              <w:t>Difference</w:t>
            </w:r>
            <w:r>
              <w:rPr>
                <w:rFonts w:eastAsia="Times New Roman" w:cstheme="minorHAnsi"/>
                <w:b/>
                <w:color w:val="000000"/>
              </w:rPr>
              <w:t xml:space="preserve"> including Payroll Burden</w:t>
            </w:r>
          </w:p>
        </w:tc>
      </w:tr>
      <w:tr w:rsidR="007F6108" w:rsidRPr="0067077F" w:rsidTr="003C1C61">
        <w:trPr>
          <w:jc w:val="center"/>
        </w:trPr>
        <w:tc>
          <w:tcPr>
            <w:tcW w:w="2718" w:type="dxa"/>
          </w:tcPr>
          <w:p w:rsidR="007F6108" w:rsidRPr="0067077F" w:rsidRDefault="007F6108" w:rsidP="003C1C61">
            <w:pPr>
              <w:jc w:val="right"/>
              <w:rPr>
                <w:rFonts w:eastAsia="Times New Roman" w:cstheme="minorHAnsi"/>
                <w:color w:val="000000"/>
              </w:rPr>
            </w:pPr>
            <w:r>
              <w:rPr>
                <w:rFonts w:eastAsia="Times New Roman" w:cstheme="minorHAnsi"/>
                <w:color w:val="000000"/>
              </w:rPr>
              <w:t xml:space="preserve">PM, </w:t>
            </w:r>
            <w:r w:rsidRPr="0067077F">
              <w:rPr>
                <w:rFonts w:eastAsia="Times New Roman" w:cstheme="minorHAnsi"/>
                <w:color w:val="000000"/>
              </w:rPr>
              <w:t>Grade 9 Employees</w:t>
            </w:r>
          </w:p>
        </w:tc>
        <w:tc>
          <w:tcPr>
            <w:tcW w:w="1481" w:type="dxa"/>
          </w:tcPr>
          <w:p w:rsidR="007F6108" w:rsidRPr="0067077F" w:rsidRDefault="007F6108" w:rsidP="003C1C61">
            <w:pPr>
              <w:jc w:val="center"/>
              <w:rPr>
                <w:rFonts w:eastAsia="Times New Roman" w:cstheme="minorHAnsi"/>
                <w:color w:val="000000"/>
              </w:rPr>
            </w:pPr>
            <w:r w:rsidRPr="0067077F">
              <w:rPr>
                <w:rFonts w:eastAsia="Times New Roman" w:cstheme="minorHAnsi"/>
                <w:color w:val="000000"/>
              </w:rPr>
              <w:t>38</w:t>
            </w:r>
          </w:p>
        </w:tc>
        <w:tc>
          <w:tcPr>
            <w:tcW w:w="2323" w:type="dxa"/>
          </w:tcPr>
          <w:p w:rsidR="007F6108" w:rsidRPr="0067077F" w:rsidRDefault="007F6108" w:rsidP="003C1C61">
            <w:pPr>
              <w:jc w:val="right"/>
              <w:rPr>
                <w:rFonts w:eastAsia="Times New Roman" w:cstheme="minorHAnsi"/>
                <w:color w:val="000000"/>
              </w:rPr>
            </w:pPr>
            <w:r w:rsidRPr="0067077F">
              <w:rPr>
                <w:rFonts w:eastAsia="Times New Roman" w:cstheme="minorHAnsi"/>
                <w:color w:val="000000"/>
              </w:rPr>
              <w:t>$1,430,019.36</w:t>
            </w:r>
          </w:p>
        </w:tc>
        <w:tc>
          <w:tcPr>
            <w:tcW w:w="2288" w:type="dxa"/>
          </w:tcPr>
          <w:p w:rsidR="007F6108" w:rsidRPr="0067077F" w:rsidRDefault="007F6108" w:rsidP="003C1C61">
            <w:pPr>
              <w:jc w:val="right"/>
              <w:rPr>
                <w:rFonts w:eastAsia="Times New Roman" w:cstheme="minorHAnsi"/>
                <w:color w:val="000000"/>
              </w:rPr>
            </w:pPr>
            <w:r w:rsidRPr="0067077F">
              <w:rPr>
                <w:rFonts w:eastAsia="Times New Roman" w:cstheme="minorHAnsi"/>
                <w:color w:val="000000"/>
              </w:rPr>
              <w:t>$1,500,187.92</w:t>
            </w:r>
          </w:p>
        </w:tc>
        <w:tc>
          <w:tcPr>
            <w:tcW w:w="2206" w:type="dxa"/>
          </w:tcPr>
          <w:p w:rsidR="007F6108" w:rsidRPr="0067077F" w:rsidRDefault="007F6108" w:rsidP="003C1C61">
            <w:pPr>
              <w:jc w:val="right"/>
              <w:rPr>
                <w:rFonts w:eastAsia="Times New Roman" w:cstheme="minorHAnsi"/>
                <w:color w:val="000000"/>
              </w:rPr>
            </w:pPr>
            <w:r w:rsidRPr="0067077F">
              <w:rPr>
                <w:rFonts w:eastAsia="Times New Roman" w:cstheme="minorHAnsi"/>
                <w:color w:val="000000"/>
              </w:rPr>
              <w:t>$86,588.00</w:t>
            </w:r>
          </w:p>
        </w:tc>
      </w:tr>
      <w:tr w:rsidR="007F6108" w:rsidRPr="0067077F" w:rsidTr="003C1C61">
        <w:tblPrEx>
          <w:jc w:val="left"/>
        </w:tblPrEx>
        <w:tc>
          <w:tcPr>
            <w:tcW w:w="2718" w:type="dxa"/>
          </w:tcPr>
          <w:p w:rsidR="007F6108" w:rsidRPr="0067077F" w:rsidRDefault="007F6108" w:rsidP="003C1C61">
            <w:pPr>
              <w:jc w:val="right"/>
              <w:rPr>
                <w:rFonts w:eastAsia="Times New Roman" w:cstheme="minorHAnsi"/>
                <w:color w:val="000000"/>
              </w:rPr>
            </w:pPr>
            <w:r>
              <w:rPr>
                <w:rFonts w:eastAsia="Times New Roman" w:cstheme="minorHAnsi"/>
                <w:color w:val="000000"/>
              </w:rPr>
              <w:t xml:space="preserve">PM, </w:t>
            </w:r>
            <w:r w:rsidRPr="0067077F">
              <w:rPr>
                <w:rFonts w:eastAsia="Times New Roman" w:cstheme="minorHAnsi"/>
                <w:color w:val="000000"/>
              </w:rPr>
              <w:t>Grade 10 Employees</w:t>
            </w:r>
          </w:p>
        </w:tc>
        <w:tc>
          <w:tcPr>
            <w:tcW w:w="1481" w:type="dxa"/>
          </w:tcPr>
          <w:p w:rsidR="007F6108" w:rsidRPr="0067077F" w:rsidRDefault="007F6108" w:rsidP="003C1C61">
            <w:pPr>
              <w:jc w:val="center"/>
              <w:rPr>
                <w:rFonts w:eastAsia="Times New Roman" w:cstheme="minorHAnsi"/>
                <w:color w:val="000000"/>
              </w:rPr>
            </w:pPr>
            <w:r w:rsidRPr="0067077F">
              <w:rPr>
                <w:rFonts w:eastAsia="Times New Roman" w:cstheme="minorHAnsi"/>
                <w:color w:val="000000"/>
              </w:rPr>
              <w:t>51</w:t>
            </w:r>
          </w:p>
        </w:tc>
        <w:tc>
          <w:tcPr>
            <w:tcW w:w="2323" w:type="dxa"/>
          </w:tcPr>
          <w:p w:rsidR="007F6108" w:rsidRPr="0067077F" w:rsidRDefault="007F6108" w:rsidP="003C1C61">
            <w:pPr>
              <w:jc w:val="right"/>
              <w:rPr>
                <w:rFonts w:eastAsia="Times New Roman" w:cstheme="minorHAnsi"/>
                <w:color w:val="000000"/>
              </w:rPr>
            </w:pPr>
            <w:r w:rsidRPr="0067077F">
              <w:rPr>
                <w:rFonts w:eastAsia="Times New Roman" w:cstheme="minorHAnsi"/>
                <w:color w:val="000000"/>
              </w:rPr>
              <w:t>$2,270,526.72</w:t>
            </w:r>
          </w:p>
        </w:tc>
        <w:tc>
          <w:tcPr>
            <w:tcW w:w="2288" w:type="dxa"/>
          </w:tcPr>
          <w:p w:rsidR="007F6108" w:rsidRPr="0067077F" w:rsidRDefault="007F6108" w:rsidP="003C1C61">
            <w:pPr>
              <w:jc w:val="right"/>
              <w:rPr>
                <w:rFonts w:eastAsia="Times New Roman" w:cstheme="minorHAnsi"/>
                <w:color w:val="000000"/>
              </w:rPr>
            </w:pPr>
            <w:r w:rsidRPr="0067077F">
              <w:rPr>
                <w:rFonts w:eastAsia="Times New Roman" w:cstheme="minorHAnsi"/>
                <w:color w:val="000000"/>
              </w:rPr>
              <w:t>$2,338,110.74</w:t>
            </w:r>
          </w:p>
        </w:tc>
        <w:tc>
          <w:tcPr>
            <w:tcW w:w="2206" w:type="dxa"/>
          </w:tcPr>
          <w:p w:rsidR="007F6108" w:rsidRPr="0067077F" w:rsidRDefault="007F6108" w:rsidP="003C1C61">
            <w:pPr>
              <w:jc w:val="right"/>
              <w:rPr>
                <w:rFonts w:eastAsia="Times New Roman" w:cstheme="minorHAnsi"/>
                <w:color w:val="000000"/>
              </w:rPr>
            </w:pPr>
            <w:r w:rsidRPr="0067077F">
              <w:rPr>
                <w:rFonts w:eastAsia="Times New Roman" w:cstheme="minorHAnsi"/>
                <w:color w:val="000000"/>
              </w:rPr>
              <w:t>$83,398.68</w:t>
            </w:r>
          </w:p>
        </w:tc>
      </w:tr>
      <w:tr w:rsidR="007F6108" w:rsidRPr="00D654D3" w:rsidTr="003C1C61">
        <w:tblPrEx>
          <w:jc w:val="left"/>
        </w:tblPrEx>
        <w:tc>
          <w:tcPr>
            <w:tcW w:w="2718" w:type="dxa"/>
          </w:tcPr>
          <w:p w:rsidR="007F6108" w:rsidRPr="00D654D3" w:rsidRDefault="007F6108" w:rsidP="003C1C61">
            <w:pPr>
              <w:jc w:val="right"/>
              <w:rPr>
                <w:rFonts w:eastAsia="Times New Roman" w:cstheme="minorHAnsi"/>
                <w:b/>
                <w:color w:val="000000"/>
              </w:rPr>
            </w:pPr>
            <w:r>
              <w:rPr>
                <w:rFonts w:eastAsia="Times New Roman" w:cstheme="minorHAnsi"/>
                <w:b/>
                <w:color w:val="000000"/>
              </w:rPr>
              <w:t>TOTAL</w:t>
            </w:r>
          </w:p>
        </w:tc>
        <w:tc>
          <w:tcPr>
            <w:tcW w:w="1481" w:type="dxa"/>
          </w:tcPr>
          <w:p w:rsidR="007F6108" w:rsidRPr="00D654D3" w:rsidRDefault="007F6108" w:rsidP="003C1C61">
            <w:pPr>
              <w:jc w:val="center"/>
              <w:rPr>
                <w:rFonts w:eastAsia="Times New Roman" w:cstheme="minorHAnsi"/>
                <w:b/>
                <w:color w:val="000000"/>
              </w:rPr>
            </w:pPr>
            <w:r>
              <w:rPr>
                <w:rFonts w:eastAsia="Times New Roman" w:cstheme="minorHAnsi"/>
                <w:b/>
                <w:color w:val="000000"/>
              </w:rPr>
              <w:t>89</w:t>
            </w:r>
          </w:p>
        </w:tc>
        <w:tc>
          <w:tcPr>
            <w:tcW w:w="2323" w:type="dxa"/>
          </w:tcPr>
          <w:p w:rsidR="007F6108" w:rsidRPr="00D654D3" w:rsidRDefault="007F6108" w:rsidP="003C1C61">
            <w:pPr>
              <w:jc w:val="right"/>
              <w:rPr>
                <w:rFonts w:eastAsia="Times New Roman" w:cstheme="minorHAnsi"/>
                <w:b/>
                <w:color w:val="000000"/>
              </w:rPr>
            </w:pPr>
            <w:r>
              <w:rPr>
                <w:rFonts w:eastAsia="Times New Roman" w:cstheme="minorHAnsi"/>
                <w:b/>
                <w:color w:val="000000"/>
              </w:rPr>
              <w:t>$3,700,546.08</w:t>
            </w:r>
          </w:p>
        </w:tc>
        <w:tc>
          <w:tcPr>
            <w:tcW w:w="2288" w:type="dxa"/>
          </w:tcPr>
          <w:p w:rsidR="007F6108" w:rsidRPr="00D654D3" w:rsidRDefault="007F6108" w:rsidP="003C1C61">
            <w:pPr>
              <w:jc w:val="right"/>
              <w:rPr>
                <w:rFonts w:eastAsia="Times New Roman" w:cstheme="minorHAnsi"/>
                <w:b/>
                <w:color w:val="000000"/>
              </w:rPr>
            </w:pPr>
            <w:r>
              <w:rPr>
                <w:rFonts w:eastAsia="Times New Roman" w:cstheme="minorHAnsi"/>
                <w:b/>
                <w:color w:val="000000"/>
              </w:rPr>
              <w:t>$3,838,298.66</w:t>
            </w:r>
          </w:p>
        </w:tc>
        <w:tc>
          <w:tcPr>
            <w:tcW w:w="2206" w:type="dxa"/>
          </w:tcPr>
          <w:p w:rsidR="007F6108" w:rsidRPr="00D654D3" w:rsidRDefault="007F6108" w:rsidP="003C1C61">
            <w:pPr>
              <w:jc w:val="right"/>
              <w:rPr>
                <w:rFonts w:eastAsia="Times New Roman" w:cstheme="minorHAnsi"/>
                <w:b/>
                <w:color w:val="000000"/>
              </w:rPr>
            </w:pPr>
            <w:r>
              <w:rPr>
                <w:rFonts w:eastAsia="Times New Roman" w:cstheme="minorHAnsi"/>
                <w:b/>
                <w:color w:val="000000"/>
              </w:rPr>
              <w:t>$169,986.68</w:t>
            </w:r>
          </w:p>
        </w:tc>
      </w:tr>
    </w:tbl>
    <w:p w:rsidR="007F6108" w:rsidRDefault="007F6108" w:rsidP="007F6108">
      <w:pPr>
        <w:spacing w:after="0" w:line="240" w:lineRule="auto"/>
        <w:rPr>
          <w:rFonts w:eastAsia="Times New Roman" w:cstheme="minorHAnsi"/>
          <w:b/>
          <w:color w:val="000000"/>
        </w:rPr>
      </w:pPr>
    </w:p>
    <w:sectPr w:rsidR="007F6108" w:rsidSect="003C45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35" w:rsidRDefault="00814135" w:rsidP="00050800">
      <w:pPr>
        <w:spacing w:after="0" w:line="240" w:lineRule="auto"/>
      </w:pPr>
      <w:r>
        <w:separator/>
      </w:r>
    </w:p>
  </w:endnote>
  <w:endnote w:type="continuationSeparator" w:id="0">
    <w:p w:rsidR="00814135" w:rsidRDefault="00814135" w:rsidP="0005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35" w:rsidRDefault="00814135" w:rsidP="00050800">
      <w:pPr>
        <w:spacing w:after="0" w:line="240" w:lineRule="auto"/>
      </w:pPr>
      <w:r>
        <w:separator/>
      </w:r>
    </w:p>
  </w:footnote>
  <w:footnote w:type="continuationSeparator" w:id="0">
    <w:p w:rsidR="00814135" w:rsidRDefault="00814135" w:rsidP="00050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2159"/>
    <w:multiLevelType w:val="multilevel"/>
    <w:tmpl w:val="135E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D0043"/>
    <w:multiLevelType w:val="multilevel"/>
    <w:tmpl w:val="8AF0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5493A"/>
    <w:multiLevelType w:val="multilevel"/>
    <w:tmpl w:val="F5C87B4A"/>
    <w:lvl w:ilvl="0">
      <w:start w:val="1"/>
      <w:numFmt w:val="decimal"/>
      <w:lvlText w:val="%1.)"/>
      <w:lvlJc w:val="left"/>
      <w:pPr>
        <w:tabs>
          <w:tab w:val="num" w:pos="450"/>
        </w:tabs>
        <w:ind w:left="450" w:hanging="360"/>
      </w:pPr>
      <w:rPr>
        <w:rFonts w:ascii="Tahoma" w:eastAsia="Times New Roman" w:hAnsi="Tahoma" w:cs="Tahoma"/>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
    <w:nsid w:val="38A563DE"/>
    <w:multiLevelType w:val="hybridMultilevel"/>
    <w:tmpl w:val="0688F928"/>
    <w:lvl w:ilvl="0" w:tplc="2B164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30C04"/>
    <w:multiLevelType w:val="hybridMultilevel"/>
    <w:tmpl w:val="358C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7B5374"/>
    <w:multiLevelType w:val="hybridMultilevel"/>
    <w:tmpl w:val="B6405F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932F0C"/>
    <w:multiLevelType w:val="multilevel"/>
    <w:tmpl w:val="11AA2332"/>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nsid w:val="7EB4008D"/>
    <w:multiLevelType w:val="multilevel"/>
    <w:tmpl w:val="F5C87B4A"/>
    <w:lvl w:ilvl="0">
      <w:start w:val="1"/>
      <w:numFmt w:val="decimal"/>
      <w:lvlText w:val="%1.)"/>
      <w:lvlJc w:val="left"/>
      <w:pPr>
        <w:tabs>
          <w:tab w:val="num" w:pos="450"/>
        </w:tabs>
        <w:ind w:left="450" w:hanging="360"/>
      </w:pPr>
      <w:rPr>
        <w:rFonts w:ascii="Tahoma" w:eastAsia="Times New Roman" w:hAnsi="Tahoma" w:cs="Tahoma"/>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1"/>
  </w:num>
  <w:num w:numId="2">
    <w:abstractNumId w:val="2"/>
  </w:num>
  <w:num w:numId="3">
    <w:abstractNumId w:val="7"/>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36"/>
    <w:rsid w:val="00002611"/>
    <w:rsid w:val="00006A90"/>
    <w:rsid w:val="00032DA3"/>
    <w:rsid w:val="00050800"/>
    <w:rsid w:val="0005113D"/>
    <w:rsid w:val="00094A3C"/>
    <w:rsid w:val="000D4B39"/>
    <w:rsid w:val="000E3576"/>
    <w:rsid w:val="000F5712"/>
    <w:rsid w:val="001043BF"/>
    <w:rsid w:val="00115245"/>
    <w:rsid w:val="00121951"/>
    <w:rsid w:val="00143336"/>
    <w:rsid w:val="001B0437"/>
    <w:rsid w:val="00212DBF"/>
    <w:rsid w:val="00252D86"/>
    <w:rsid w:val="00260641"/>
    <w:rsid w:val="00272ACC"/>
    <w:rsid w:val="00287A40"/>
    <w:rsid w:val="0029180B"/>
    <w:rsid w:val="002B6DC3"/>
    <w:rsid w:val="002B73E4"/>
    <w:rsid w:val="002D0464"/>
    <w:rsid w:val="00311AE3"/>
    <w:rsid w:val="003146AE"/>
    <w:rsid w:val="003365FF"/>
    <w:rsid w:val="00341BA8"/>
    <w:rsid w:val="003556A0"/>
    <w:rsid w:val="00374BC1"/>
    <w:rsid w:val="003C13A6"/>
    <w:rsid w:val="003C4516"/>
    <w:rsid w:val="003F1F74"/>
    <w:rsid w:val="00436589"/>
    <w:rsid w:val="00480A83"/>
    <w:rsid w:val="0049676F"/>
    <w:rsid w:val="004B2D59"/>
    <w:rsid w:val="004B47E0"/>
    <w:rsid w:val="004B6621"/>
    <w:rsid w:val="004E0936"/>
    <w:rsid w:val="004E1105"/>
    <w:rsid w:val="004E4567"/>
    <w:rsid w:val="004E6A28"/>
    <w:rsid w:val="00533DCE"/>
    <w:rsid w:val="00536C1D"/>
    <w:rsid w:val="005760AB"/>
    <w:rsid w:val="005D7675"/>
    <w:rsid w:val="005E7BA3"/>
    <w:rsid w:val="005F737A"/>
    <w:rsid w:val="00613382"/>
    <w:rsid w:val="0061380D"/>
    <w:rsid w:val="006254CF"/>
    <w:rsid w:val="00630E1F"/>
    <w:rsid w:val="00640941"/>
    <w:rsid w:val="006662BC"/>
    <w:rsid w:val="00667068"/>
    <w:rsid w:val="00675DD4"/>
    <w:rsid w:val="00693239"/>
    <w:rsid w:val="006B218B"/>
    <w:rsid w:val="006B235E"/>
    <w:rsid w:val="006B719B"/>
    <w:rsid w:val="006C38D2"/>
    <w:rsid w:val="006D19D4"/>
    <w:rsid w:val="006D345A"/>
    <w:rsid w:val="007600E2"/>
    <w:rsid w:val="007C21FB"/>
    <w:rsid w:val="007F3F58"/>
    <w:rsid w:val="007F6108"/>
    <w:rsid w:val="00814135"/>
    <w:rsid w:val="00830A6B"/>
    <w:rsid w:val="00835193"/>
    <w:rsid w:val="0084296F"/>
    <w:rsid w:val="008A6780"/>
    <w:rsid w:val="008B29C5"/>
    <w:rsid w:val="008B6648"/>
    <w:rsid w:val="008D44CE"/>
    <w:rsid w:val="008F08BD"/>
    <w:rsid w:val="008F7E73"/>
    <w:rsid w:val="00973541"/>
    <w:rsid w:val="00980A29"/>
    <w:rsid w:val="0099668C"/>
    <w:rsid w:val="009E162F"/>
    <w:rsid w:val="009E72B2"/>
    <w:rsid w:val="00A033A8"/>
    <w:rsid w:val="00A066B6"/>
    <w:rsid w:val="00A21E83"/>
    <w:rsid w:val="00A3124C"/>
    <w:rsid w:val="00A34A2E"/>
    <w:rsid w:val="00A424BF"/>
    <w:rsid w:val="00A4662B"/>
    <w:rsid w:val="00A56C1C"/>
    <w:rsid w:val="00AA37A2"/>
    <w:rsid w:val="00AD483D"/>
    <w:rsid w:val="00AE6192"/>
    <w:rsid w:val="00B00491"/>
    <w:rsid w:val="00B113EC"/>
    <w:rsid w:val="00B32A7D"/>
    <w:rsid w:val="00B41BA9"/>
    <w:rsid w:val="00B9206F"/>
    <w:rsid w:val="00B95F6D"/>
    <w:rsid w:val="00BA72B3"/>
    <w:rsid w:val="00BD5391"/>
    <w:rsid w:val="00BE3241"/>
    <w:rsid w:val="00BE3A85"/>
    <w:rsid w:val="00C03738"/>
    <w:rsid w:val="00C2233F"/>
    <w:rsid w:val="00C306AC"/>
    <w:rsid w:val="00C36A94"/>
    <w:rsid w:val="00C63B58"/>
    <w:rsid w:val="00C841F2"/>
    <w:rsid w:val="00CC0686"/>
    <w:rsid w:val="00CD7372"/>
    <w:rsid w:val="00CE4FCD"/>
    <w:rsid w:val="00D05D52"/>
    <w:rsid w:val="00D525A6"/>
    <w:rsid w:val="00D56390"/>
    <w:rsid w:val="00D654D3"/>
    <w:rsid w:val="00DF1906"/>
    <w:rsid w:val="00E12D2D"/>
    <w:rsid w:val="00E31465"/>
    <w:rsid w:val="00F317F4"/>
    <w:rsid w:val="00F66F1C"/>
    <w:rsid w:val="00F822FC"/>
    <w:rsid w:val="00FA614B"/>
    <w:rsid w:val="00FD555B"/>
    <w:rsid w:val="00FE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22FC"/>
    <w:pPr>
      <w:spacing w:before="100" w:beforeAutospacing="1" w:after="75" w:line="240" w:lineRule="auto"/>
      <w:ind w:left="150"/>
      <w:outlineLvl w:val="1"/>
    </w:pPr>
    <w:rPr>
      <w:rFonts w:ascii="Times New Roman" w:eastAsia="Times New Roman" w:hAnsi="Times New Roman" w:cs="Times New Roman"/>
      <w:b/>
      <w:bCs/>
      <w:color w:val="000000"/>
      <w:sz w:val="27"/>
      <w:szCs w:val="27"/>
    </w:rPr>
  </w:style>
  <w:style w:type="paragraph" w:styleId="Heading3">
    <w:name w:val="heading 3"/>
    <w:basedOn w:val="Normal"/>
    <w:link w:val="Heading3Char"/>
    <w:uiPriority w:val="9"/>
    <w:qFormat/>
    <w:rsid w:val="00F822FC"/>
    <w:pPr>
      <w:spacing w:before="225" w:after="105" w:line="240" w:lineRule="auto"/>
      <w:ind w:left="150"/>
      <w:outlineLvl w:val="2"/>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2FC"/>
    <w:rPr>
      <w:rFonts w:ascii="Times New Roman" w:eastAsia="Times New Roman" w:hAnsi="Times New Roman" w:cs="Times New Roman"/>
      <w:b/>
      <w:bCs/>
      <w:color w:val="000000"/>
      <w:sz w:val="27"/>
      <w:szCs w:val="27"/>
    </w:rPr>
  </w:style>
  <w:style w:type="character" w:customStyle="1" w:styleId="Heading3Char">
    <w:name w:val="Heading 3 Char"/>
    <w:basedOn w:val="DefaultParagraphFont"/>
    <w:link w:val="Heading3"/>
    <w:uiPriority w:val="9"/>
    <w:rsid w:val="00F822FC"/>
    <w:rPr>
      <w:rFonts w:ascii="Times New Roman" w:eastAsia="Times New Roman" w:hAnsi="Times New Roman" w:cs="Times New Roman"/>
      <w:b/>
      <w:bCs/>
      <w:color w:val="000000"/>
      <w:sz w:val="23"/>
      <w:szCs w:val="23"/>
    </w:rPr>
  </w:style>
  <w:style w:type="character" w:styleId="Hyperlink">
    <w:name w:val="Hyperlink"/>
    <w:basedOn w:val="DefaultParagraphFont"/>
    <w:uiPriority w:val="99"/>
    <w:semiHidden/>
    <w:unhideWhenUsed/>
    <w:rsid w:val="00F822FC"/>
    <w:rPr>
      <w:color w:val="0000FF"/>
      <w:u w:val="single"/>
    </w:rPr>
  </w:style>
  <w:style w:type="paragraph" w:styleId="NormalWeb">
    <w:name w:val="Normal (Web)"/>
    <w:basedOn w:val="Normal"/>
    <w:uiPriority w:val="99"/>
    <w:semiHidden/>
    <w:unhideWhenUsed/>
    <w:rsid w:val="00F822FC"/>
    <w:pPr>
      <w:spacing w:before="100" w:beforeAutospacing="1" w:after="75" w:line="240" w:lineRule="auto"/>
      <w:ind w:left="150"/>
    </w:pPr>
    <w:rPr>
      <w:rFonts w:ascii="Times New Roman" w:eastAsia="Times New Roman" w:hAnsi="Times New Roman" w:cs="Times New Roman"/>
      <w:sz w:val="21"/>
      <w:szCs w:val="21"/>
    </w:rPr>
  </w:style>
  <w:style w:type="paragraph" w:styleId="ListParagraph">
    <w:name w:val="List Paragraph"/>
    <w:basedOn w:val="Normal"/>
    <w:uiPriority w:val="34"/>
    <w:qFormat/>
    <w:rsid w:val="00D56390"/>
    <w:pPr>
      <w:ind w:left="720"/>
      <w:contextualSpacing/>
    </w:pPr>
  </w:style>
  <w:style w:type="character" w:styleId="Emphasis">
    <w:name w:val="Emphasis"/>
    <w:basedOn w:val="DefaultParagraphFont"/>
    <w:uiPriority w:val="20"/>
    <w:qFormat/>
    <w:rsid w:val="00E12D2D"/>
    <w:rPr>
      <w:i/>
      <w:iCs/>
    </w:rPr>
  </w:style>
  <w:style w:type="character" w:styleId="Strong">
    <w:name w:val="Strong"/>
    <w:basedOn w:val="DefaultParagraphFont"/>
    <w:uiPriority w:val="22"/>
    <w:qFormat/>
    <w:rsid w:val="00E12D2D"/>
    <w:rPr>
      <w:b/>
      <w:bCs/>
    </w:rPr>
  </w:style>
  <w:style w:type="paragraph" w:customStyle="1" w:styleId="rtejustify">
    <w:name w:val="rtejustify"/>
    <w:basedOn w:val="Normal"/>
    <w:rsid w:val="00E12D2D"/>
    <w:pPr>
      <w:spacing w:before="150" w:after="150" w:line="300" w:lineRule="atLeast"/>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12DBF"/>
    <w:pPr>
      <w:autoSpaceDE w:val="0"/>
      <w:autoSpaceDN w:val="0"/>
      <w:adjustRightInd w:val="0"/>
      <w:spacing w:after="0" w:line="240" w:lineRule="auto"/>
      <w:ind w:left="40"/>
    </w:pPr>
    <w:rPr>
      <w:rFonts w:ascii="Century" w:hAnsi="Century" w:cs="Century"/>
      <w:sz w:val="18"/>
      <w:szCs w:val="18"/>
    </w:rPr>
  </w:style>
  <w:style w:type="character" w:customStyle="1" w:styleId="BodyTextChar">
    <w:name w:val="Body Text Char"/>
    <w:basedOn w:val="DefaultParagraphFont"/>
    <w:link w:val="BodyText"/>
    <w:uiPriority w:val="1"/>
    <w:rsid w:val="00212DBF"/>
    <w:rPr>
      <w:rFonts w:ascii="Century" w:hAnsi="Century" w:cs="Century"/>
      <w:sz w:val="18"/>
      <w:szCs w:val="18"/>
    </w:rPr>
  </w:style>
  <w:style w:type="paragraph" w:styleId="Header">
    <w:name w:val="header"/>
    <w:basedOn w:val="Normal"/>
    <w:link w:val="HeaderChar"/>
    <w:uiPriority w:val="99"/>
    <w:unhideWhenUsed/>
    <w:rsid w:val="00050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00"/>
  </w:style>
  <w:style w:type="paragraph" w:styleId="Footer">
    <w:name w:val="footer"/>
    <w:basedOn w:val="Normal"/>
    <w:link w:val="FooterChar"/>
    <w:uiPriority w:val="99"/>
    <w:unhideWhenUsed/>
    <w:rsid w:val="00050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00"/>
  </w:style>
  <w:style w:type="paragraph" w:styleId="BalloonText">
    <w:name w:val="Balloon Text"/>
    <w:basedOn w:val="Normal"/>
    <w:link w:val="BalloonTextChar"/>
    <w:uiPriority w:val="99"/>
    <w:semiHidden/>
    <w:unhideWhenUsed/>
    <w:rsid w:val="0005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00"/>
    <w:rPr>
      <w:rFonts w:ascii="Tahoma" w:hAnsi="Tahoma" w:cs="Tahoma"/>
      <w:sz w:val="16"/>
      <w:szCs w:val="16"/>
    </w:rPr>
  </w:style>
  <w:style w:type="table" w:styleId="TableGrid">
    <w:name w:val="Table Grid"/>
    <w:basedOn w:val="TableNormal"/>
    <w:uiPriority w:val="59"/>
    <w:rsid w:val="009E7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22FC"/>
    <w:pPr>
      <w:spacing w:before="100" w:beforeAutospacing="1" w:after="75" w:line="240" w:lineRule="auto"/>
      <w:ind w:left="150"/>
      <w:outlineLvl w:val="1"/>
    </w:pPr>
    <w:rPr>
      <w:rFonts w:ascii="Times New Roman" w:eastAsia="Times New Roman" w:hAnsi="Times New Roman" w:cs="Times New Roman"/>
      <w:b/>
      <w:bCs/>
      <w:color w:val="000000"/>
      <w:sz w:val="27"/>
      <w:szCs w:val="27"/>
    </w:rPr>
  </w:style>
  <w:style w:type="paragraph" w:styleId="Heading3">
    <w:name w:val="heading 3"/>
    <w:basedOn w:val="Normal"/>
    <w:link w:val="Heading3Char"/>
    <w:uiPriority w:val="9"/>
    <w:qFormat/>
    <w:rsid w:val="00F822FC"/>
    <w:pPr>
      <w:spacing w:before="225" w:after="105" w:line="240" w:lineRule="auto"/>
      <w:ind w:left="150"/>
      <w:outlineLvl w:val="2"/>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2FC"/>
    <w:rPr>
      <w:rFonts w:ascii="Times New Roman" w:eastAsia="Times New Roman" w:hAnsi="Times New Roman" w:cs="Times New Roman"/>
      <w:b/>
      <w:bCs/>
      <w:color w:val="000000"/>
      <w:sz w:val="27"/>
      <w:szCs w:val="27"/>
    </w:rPr>
  </w:style>
  <w:style w:type="character" w:customStyle="1" w:styleId="Heading3Char">
    <w:name w:val="Heading 3 Char"/>
    <w:basedOn w:val="DefaultParagraphFont"/>
    <w:link w:val="Heading3"/>
    <w:uiPriority w:val="9"/>
    <w:rsid w:val="00F822FC"/>
    <w:rPr>
      <w:rFonts w:ascii="Times New Roman" w:eastAsia="Times New Roman" w:hAnsi="Times New Roman" w:cs="Times New Roman"/>
      <w:b/>
      <w:bCs/>
      <w:color w:val="000000"/>
      <w:sz w:val="23"/>
      <w:szCs w:val="23"/>
    </w:rPr>
  </w:style>
  <w:style w:type="character" w:styleId="Hyperlink">
    <w:name w:val="Hyperlink"/>
    <w:basedOn w:val="DefaultParagraphFont"/>
    <w:uiPriority w:val="99"/>
    <w:semiHidden/>
    <w:unhideWhenUsed/>
    <w:rsid w:val="00F822FC"/>
    <w:rPr>
      <w:color w:val="0000FF"/>
      <w:u w:val="single"/>
    </w:rPr>
  </w:style>
  <w:style w:type="paragraph" w:styleId="NormalWeb">
    <w:name w:val="Normal (Web)"/>
    <w:basedOn w:val="Normal"/>
    <w:uiPriority w:val="99"/>
    <w:semiHidden/>
    <w:unhideWhenUsed/>
    <w:rsid w:val="00F822FC"/>
    <w:pPr>
      <w:spacing w:before="100" w:beforeAutospacing="1" w:after="75" w:line="240" w:lineRule="auto"/>
      <w:ind w:left="150"/>
    </w:pPr>
    <w:rPr>
      <w:rFonts w:ascii="Times New Roman" w:eastAsia="Times New Roman" w:hAnsi="Times New Roman" w:cs="Times New Roman"/>
      <w:sz w:val="21"/>
      <w:szCs w:val="21"/>
    </w:rPr>
  </w:style>
  <w:style w:type="paragraph" w:styleId="ListParagraph">
    <w:name w:val="List Paragraph"/>
    <w:basedOn w:val="Normal"/>
    <w:uiPriority w:val="34"/>
    <w:qFormat/>
    <w:rsid w:val="00D56390"/>
    <w:pPr>
      <w:ind w:left="720"/>
      <w:contextualSpacing/>
    </w:pPr>
  </w:style>
  <w:style w:type="character" w:styleId="Emphasis">
    <w:name w:val="Emphasis"/>
    <w:basedOn w:val="DefaultParagraphFont"/>
    <w:uiPriority w:val="20"/>
    <w:qFormat/>
    <w:rsid w:val="00E12D2D"/>
    <w:rPr>
      <w:i/>
      <w:iCs/>
    </w:rPr>
  </w:style>
  <w:style w:type="character" w:styleId="Strong">
    <w:name w:val="Strong"/>
    <w:basedOn w:val="DefaultParagraphFont"/>
    <w:uiPriority w:val="22"/>
    <w:qFormat/>
    <w:rsid w:val="00E12D2D"/>
    <w:rPr>
      <w:b/>
      <w:bCs/>
    </w:rPr>
  </w:style>
  <w:style w:type="paragraph" w:customStyle="1" w:styleId="rtejustify">
    <w:name w:val="rtejustify"/>
    <w:basedOn w:val="Normal"/>
    <w:rsid w:val="00E12D2D"/>
    <w:pPr>
      <w:spacing w:before="150" w:after="150" w:line="300" w:lineRule="atLeast"/>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12DBF"/>
    <w:pPr>
      <w:autoSpaceDE w:val="0"/>
      <w:autoSpaceDN w:val="0"/>
      <w:adjustRightInd w:val="0"/>
      <w:spacing w:after="0" w:line="240" w:lineRule="auto"/>
      <w:ind w:left="40"/>
    </w:pPr>
    <w:rPr>
      <w:rFonts w:ascii="Century" w:hAnsi="Century" w:cs="Century"/>
      <w:sz w:val="18"/>
      <w:szCs w:val="18"/>
    </w:rPr>
  </w:style>
  <w:style w:type="character" w:customStyle="1" w:styleId="BodyTextChar">
    <w:name w:val="Body Text Char"/>
    <w:basedOn w:val="DefaultParagraphFont"/>
    <w:link w:val="BodyText"/>
    <w:uiPriority w:val="1"/>
    <w:rsid w:val="00212DBF"/>
    <w:rPr>
      <w:rFonts w:ascii="Century" w:hAnsi="Century" w:cs="Century"/>
      <w:sz w:val="18"/>
      <w:szCs w:val="18"/>
    </w:rPr>
  </w:style>
  <w:style w:type="paragraph" w:styleId="Header">
    <w:name w:val="header"/>
    <w:basedOn w:val="Normal"/>
    <w:link w:val="HeaderChar"/>
    <w:uiPriority w:val="99"/>
    <w:unhideWhenUsed/>
    <w:rsid w:val="00050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00"/>
  </w:style>
  <w:style w:type="paragraph" w:styleId="Footer">
    <w:name w:val="footer"/>
    <w:basedOn w:val="Normal"/>
    <w:link w:val="FooterChar"/>
    <w:uiPriority w:val="99"/>
    <w:unhideWhenUsed/>
    <w:rsid w:val="00050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00"/>
  </w:style>
  <w:style w:type="paragraph" w:styleId="BalloonText">
    <w:name w:val="Balloon Text"/>
    <w:basedOn w:val="Normal"/>
    <w:link w:val="BalloonTextChar"/>
    <w:uiPriority w:val="99"/>
    <w:semiHidden/>
    <w:unhideWhenUsed/>
    <w:rsid w:val="0005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00"/>
    <w:rPr>
      <w:rFonts w:ascii="Tahoma" w:hAnsi="Tahoma" w:cs="Tahoma"/>
      <w:sz w:val="16"/>
      <w:szCs w:val="16"/>
    </w:rPr>
  </w:style>
  <w:style w:type="table" w:styleId="TableGrid">
    <w:name w:val="Table Grid"/>
    <w:basedOn w:val="TableNormal"/>
    <w:uiPriority w:val="59"/>
    <w:rsid w:val="009E7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0038">
      <w:bodyDiv w:val="1"/>
      <w:marLeft w:val="0"/>
      <w:marRight w:val="0"/>
      <w:marTop w:val="0"/>
      <w:marBottom w:val="0"/>
      <w:divBdr>
        <w:top w:val="none" w:sz="0" w:space="0" w:color="auto"/>
        <w:left w:val="none" w:sz="0" w:space="0" w:color="auto"/>
        <w:bottom w:val="none" w:sz="0" w:space="0" w:color="auto"/>
        <w:right w:val="none" w:sz="0" w:space="0" w:color="auto"/>
      </w:divBdr>
    </w:div>
    <w:div w:id="259916149">
      <w:bodyDiv w:val="1"/>
      <w:marLeft w:val="0"/>
      <w:marRight w:val="0"/>
      <w:marTop w:val="0"/>
      <w:marBottom w:val="0"/>
      <w:divBdr>
        <w:top w:val="none" w:sz="0" w:space="0" w:color="auto"/>
        <w:left w:val="none" w:sz="0" w:space="0" w:color="auto"/>
        <w:bottom w:val="none" w:sz="0" w:space="0" w:color="auto"/>
        <w:right w:val="none" w:sz="0" w:space="0" w:color="auto"/>
      </w:divBdr>
    </w:div>
    <w:div w:id="283734101">
      <w:bodyDiv w:val="1"/>
      <w:marLeft w:val="0"/>
      <w:marRight w:val="0"/>
      <w:marTop w:val="0"/>
      <w:marBottom w:val="0"/>
      <w:divBdr>
        <w:top w:val="none" w:sz="0" w:space="0" w:color="auto"/>
        <w:left w:val="none" w:sz="0" w:space="0" w:color="auto"/>
        <w:bottom w:val="none" w:sz="0" w:space="0" w:color="auto"/>
        <w:right w:val="none" w:sz="0" w:space="0" w:color="auto"/>
      </w:divBdr>
    </w:div>
    <w:div w:id="314380683">
      <w:bodyDiv w:val="1"/>
      <w:marLeft w:val="0"/>
      <w:marRight w:val="0"/>
      <w:marTop w:val="0"/>
      <w:marBottom w:val="0"/>
      <w:divBdr>
        <w:top w:val="none" w:sz="0" w:space="0" w:color="auto"/>
        <w:left w:val="none" w:sz="0" w:space="0" w:color="auto"/>
        <w:bottom w:val="none" w:sz="0" w:space="0" w:color="auto"/>
        <w:right w:val="none" w:sz="0" w:space="0" w:color="auto"/>
      </w:divBdr>
    </w:div>
    <w:div w:id="386994175">
      <w:bodyDiv w:val="1"/>
      <w:marLeft w:val="0"/>
      <w:marRight w:val="0"/>
      <w:marTop w:val="0"/>
      <w:marBottom w:val="0"/>
      <w:divBdr>
        <w:top w:val="none" w:sz="0" w:space="0" w:color="auto"/>
        <w:left w:val="none" w:sz="0" w:space="0" w:color="auto"/>
        <w:bottom w:val="none" w:sz="0" w:space="0" w:color="auto"/>
        <w:right w:val="none" w:sz="0" w:space="0" w:color="auto"/>
      </w:divBdr>
    </w:div>
    <w:div w:id="659113669">
      <w:bodyDiv w:val="1"/>
      <w:marLeft w:val="0"/>
      <w:marRight w:val="0"/>
      <w:marTop w:val="0"/>
      <w:marBottom w:val="0"/>
      <w:divBdr>
        <w:top w:val="none" w:sz="0" w:space="0" w:color="auto"/>
        <w:left w:val="none" w:sz="0" w:space="0" w:color="auto"/>
        <w:bottom w:val="none" w:sz="0" w:space="0" w:color="auto"/>
        <w:right w:val="none" w:sz="0" w:space="0" w:color="auto"/>
      </w:divBdr>
    </w:div>
    <w:div w:id="693506955">
      <w:bodyDiv w:val="1"/>
      <w:marLeft w:val="0"/>
      <w:marRight w:val="0"/>
      <w:marTop w:val="0"/>
      <w:marBottom w:val="0"/>
      <w:divBdr>
        <w:top w:val="none" w:sz="0" w:space="0" w:color="auto"/>
        <w:left w:val="none" w:sz="0" w:space="0" w:color="auto"/>
        <w:bottom w:val="none" w:sz="0" w:space="0" w:color="auto"/>
        <w:right w:val="none" w:sz="0" w:space="0" w:color="auto"/>
      </w:divBdr>
    </w:div>
    <w:div w:id="729499108">
      <w:bodyDiv w:val="1"/>
      <w:marLeft w:val="0"/>
      <w:marRight w:val="0"/>
      <w:marTop w:val="0"/>
      <w:marBottom w:val="0"/>
      <w:divBdr>
        <w:top w:val="none" w:sz="0" w:space="0" w:color="auto"/>
        <w:left w:val="none" w:sz="0" w:space="0" w:color="auto"/>
        <w:bottom w:val="none" w:sz="0" w:space="0" w:color="auto"/>
        <w:right w:val="none" w:sz="0" w:space="0" w:color="auto"/>
      </w:divBdr>
    </w:div>
    <w:div w:id="763920236">
      <w:bodyDiv w:val="1"/>
      <w:marLeft w:val="0"/>
      <w:marRight w:val="0"/>
      <w:marTop w:val="0"/>
      <w:marBottom w:val="0"/>
      <w:divBdr>
        <w:top w:val="none" w:sz="0" w:space="0" w:color="auto"/>
        <w:left w:val="none" w:sz="0" w:space="0" w:color="auto"/>
        <w:bottom w:val="none" w:sz="0" w:space="0" w:color="auto"/>
        <w:right w:val="none" w:sz="0" w:space="0" w:color="auto"/>
      </w:divBdr>
    </w:div>
    <w:div w:id="766312644">
      <w:bodyDiv w:val="1"/>
      <w:marLeft w:val="0"/>
      <w:marRight w:val="0"/>
      <w:marTop w:val="0"/>
      <w:marBottom w:val="0"/>
      <w:divBdr>
        <w:top w:val="none" w:sz="0" w:space="0" w:color="auto"/>
        <w:left w:val="none" w:sz="0" w:space="0" w:color="auto"/>
        <w:bottom w:val="none" w:sz="0" w:space="0" w:color="auto"/>
        <w:right w:val="none" w:sz="0" w:space="0" w:color="auto"/>
      </w:divBdr>
    </w:div>
    <w:div w:id="776681355">
      <w:bodyDiv w:val="1"/>
      <w:marLeft w:val="0"/>
      <w:marRight w:val="0"/>
      <w:marTop w:val="0"/>
      <w:marBottom w:val="0"/>
      <w:divBdr>
        <w:top w:val="none" w:sz="0" w:space="0" w:color="auto"/>
        <w:left w:val="none" w:sz="0" w:space="0" w:color="auto"/>
        <w:bottom w:val="none" w:sz="0" w:space="0" w:color="auto"/>
        <w:right w:val="none" w:sz="0" w:space="0" w:color="auto"/>
      </w:divBdr>
    </w:div>
    <w:div w:id="802575095">
      <w:bodyDiv w:val="1"/>
      <w:marLeft w:val="0"/>
      <w:marRight w:val="0"/>
      <w:marTop w:val="0"/>
      <w:marBottom w:val="0"/>
      <w:divBdr>
        <w:top w:val="none" w:sz="0" w:space="0" w:color="auto"/>
        <w:left w:val="none" w:sz="0" w:space="0" w:color="auto"/>
        <w:bottom w:val="none" w:sz="0" w:space="0" w:color="auto"/>
        <w:right w:val="none" w:sz="0" w:space="0" w:color="auto"/>
      </w:divBdr>
      <w:divsChild>
        <w:div w:id="638611869">
          <w:marLeft w:val="0"/>
          <w:marRight w:val="0"/>
          <w:marTop w:val="0"/>
          <w:marBottom w:val="0"/>
          <w:divBdr>
            <w:top w:val="none" w:sz="0" w:space="0" w:color="auto"/>
            <w:left w:val="none" w:sz="0" w:space="0" w:color="auto"/>
            <w:bottom w:val="none" w:sz="0" w:space="0" w:color="auto"/>
            <w:right w:val="none" w:sz="0" w:space="0" w:color="auto"/>
          </w:divBdr>
          <w:divsChild>
            <w:div w:id="1441872381">
              <w:marLeft w:val="0"/>
              <w:marRight w:val="0"/>
              <w:marTop w:val="0"/>
              <w:marBottom w:val="0"/>
              <w:divBdr>
                <w:top w:val="none" w:sz="0" w:space="0" w:color="auto"/>
                <w:left w:val="none" w:sz="0" w:space="0" w:color="auto"/>
                <w:bottom w:val="none" w:sz="0" w:space="0" w:color="auto"/>
                <w:right w:val="none" w:sz="0" w:space="0" w:color="auto"/>
              </w:divBdr>
              <w:divsChild>
                <w:div w:id="1980845310">
                  <w:marLeft w:val="0"/>
                  <w:marRight w:val="0"/>
                  <w:marTop w:val="0"/>
                  <w:marBottom w:val="0"/>
                  <w:divBdr>
                    <w:top w:val="none" w:sz="0" w:space="0" w:color="auto"/>
                    <w:left w:val="none" w:sz="0" w:space="0" w:color="auto"/>
                    <w:bottom w:val="none" w:sz="0" w:space="0" w:color="auto"/>
                    <w:right w:val="none" w:sz="0" w:space="0" w:color="auto"/>
                  </w:divBdr>
                  <w:divsChild>
                    <w:div w:id="1929263698">
                      <w:marLeft w:val="0"/>
                      <w:marRight w:val="0"/>
                      <w:marTop w:val="0"/>
                      <w:marBottom w:val="0"/>
                      <w:divBdr>
                        <w:top w:val="none" w:sz="0" w:space="0" w:color="auto"/>
                        <w:left w:val="none" w:sz="0" w:space="0" w:color="auto"/>
                        <w:bottom w:val="none" w:sz="0" w:space="0" w:color="auto"/>
                        <w:right w:val="none" w:sz="0" w:space="0" w:color="auto"/>
                      </w:divBdr>
                      <w:divsChild>
                        <w:div w:id="1907566634">
                          <w:marLeft w:val="0"/>
                          <w:marRight w:val="0"/>
                          <w:marTop w:val="0"/>
                          <w:marBottom w:val="0"/>
                          <w:divBdr>
                            <w:top w:val="none" w:sz="0" w:space="0" w:color="auto"/>
                            <w:left w:val="none" w:sz="0" w:space="0" w:color="auto"/>
                            <w:bottom w:val="none" w:sz="0" w:space="0" w:color="auto"/>
                            <w:right w:val="none" w:sz="0" w:space="0" w:color="auto"/>
                          </w:divBdr>
                          <w:divsChild>
                            <w:div w:id="1663459918">
                              <w:marLeft w:val="0"/>
                              <w:marRight w:val="0"/>
                              <w:marTop w:val="0"/>
                              <w:marBottom w:val="0"/>
                              <w:divBdr>
                                <w:top w:val="none" w:sz="0" w:space="0" w:color="auto"/>
                                <w:left w:val="none" w:sz="0" w:space="0" w:color="auto"/>
                                <w:bottom w:val="none" w:sz="0" w:space="0" w:color="auto"/>
                                <w:right w:val="none" w:sz="0" w:space="0" w:color="auto"/>
                              </w:divBdr>
                              <w:divsChild>
                                <w:div w:id="9250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41557">
      <w:bodyDiv w:val="1"/>
      <w:marLeft w:val="0"/>
      <w:marRight w:val="0"/>
      <w:marTop w:val="0"/>
      <w:marBottom w:val="0"/>
      <w:divBdr>
        <w:top w:val="none" w:sz="0" w:space="0" w:color="auto"/>
        <w:left w:val="none" w:sz="0" w:space="0" w:color="auto"/>
        <w:bottom w:val="none" w:sz="0" w:space="0" w:color="auto"/>
        <w:right w:val="none" w:sz="0" w:space="0" w:color="auto"/>
      </w:divBdr>
    </w:div>
    <w:div w:id="1132140036">
      <w:bodyDiv w:val="1"/>
      <w:marLeft w:val="0"/>
      <w:marRight w:val="0"/>
      <w:marTop w:val="0"/>
      <w:marBottom w:val="0"/>
      <w:divBdr>
        <w:top w:val="none" w:sz="0" w:space="0" w:color="auto"/>
        <w:left w:val="none" w:sz="0" w:space="0" w:color="auto"/>
        <w:bottom w:val="none" w:sz="0" w:space="0" w:color="auto"/>
        <w:right w:val="none" w:sz="0" w:space="0" w:color="auto"/>
      </w:divBdr>
    </w:div>
    <w:div w:id="1488938955">
      <w:bodyDiv w:val="1"/>
      <w:marLeft w:val="0"/>
      <w:marRight w:val="0"/>
      <w:marTop w:val="0"/>
      <w:marBottom w:val="0"/>
      <w:divBdr>
        <w:top w:val="none" w:sz="0" w:space="0" w:color="auto"/>
        <w:left w:val="none" w:sz="0" w:space="0" w:color="auto"/>
        <w:bottom w:val="none" w:sz="0" w:space="0" w:color="auto"/>
        <w:right w:val="none" w:sz="0" w:space="0" w:color="auto"/>
      </w:divBdr>
    </w:div>
    <w:div w:id="1489400280">
      <w:bodyDiv w:val="1"/>
      <w:marLeft w:val="0"/>
      <w:marRight w:val="0"/>
      <w:marTop w:val="0"/>
      <w:marBottom w:val="0"/>
      <w:divBdr>
        <w:top w:val="none" w:sz="0" w:space="0" w:color="auto"/>
        <w:left w:val="none" w:sz="0" w:space="0" w:color="auto"/>
        <w:bottom w:val="none" w:sz="0" w:space="0" w:color="auto"/>
        <w:right w:val="none" w:sz="0" w:space="0" w:color="auto"/>
      </w:divBdr>
    </w:div>
    <w:div w:id="1511530149">
      <w:bodyDiv w:val="1"/>
      <w:marLeft w:val="0"/>
      <w:marRight w:val="0"/>
      <w:marTop w:val="0"/>
      <w:marBottom w:val="0"/>
      <w:divBdr>
        <w:top w:val="none" w:sz="0" w:space="0" w:color="auto"/>
        <w:left w:val="none" w:sz="0" w:space="0" w:color="auto"/>
        <w:bottom w:val="none" w:sz="0" w:space="0" w:color="auto"/>
        <w:right w:val="none" w:sz="0" w:space="0" w:color="auto"/>
      </w:divBdr>
      <w:divsChild>
        <w:div w:id="298151602">
          <w:marLeft w:val="0"/>
          <w:marRight w:val="0"/>
          <w:marTop w:val="0"/>
          <w:marBottom w:val="0"/>
          <w:divBdr>
            <w:top w:val="none" w:sz="0" w:space="0" w:color="auto"/>
            <w:left w:val="none" w:sz="0" w:space="0" w:color="auto"/>
            <w:bottom w:val="none" w:sz="0" w:space="0" w:color="auto"/>
            <w:right w:val="none" w:sz="0" w:space="0" w:color="auto"/>
          </w:divBdr>
          <w:divsChild>
            <w:div w:id="2063941930">
              <w:marLeft w:val="0"/>
              <w:marRight w:val="0"/>
              <w:marTop w:val="0"/>
              <w:marBottom w:val="0"/>
              <w:divBdr>
                <w:top w:val="none" w:sz="0" w:space="0" w:color="auto"/>
                <w:left w:val="none" w:sz="0" w:space="0" w:color="auto"/>
                <w:bottom w:val="none" w:sz="0" w:space="0" w:color="auto"/>
                <w:right w:val="none" w:sz="0" w:space="0" w:color="auto"/>
              </w:divBdr>
              <w:divsChild>
                <w:div w:id="435290706">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95958135">
      <w:bodyDiv w:val="1"/>
      <w:marLeft w:val="0"/>
      <w:marRight w:val="0"/>
      <w:marTop w:val="0"/>
      <w:marBottom w:val="0"/>
      <w:divBdr>
        <w:top w:val="none" w:sz="0" w:space="0" w:color="auto"/>
        <w:left w:val="none" w:sz="0" w:space="0" w:color="auto"/>
        <w:bottom w:val="none" w:sz="0" w:space="0" w:color="auto"/>
        <w:right w:val="none" w:sz="0" w:space="0" w:color="auto"/>
      </w:divBdr>
    </w:div>
    <w:div w:id="1779912921">
      <w:bodyDiv w:val="1"/>
      <w:marLeft w:val="0"/>
      <w:marRight w:val="0"/>
      <w:marTop w:val="0"/>
      <w:marBottom w:val="0"/>
      <w:divBdr>
        <w:top w:val="none" w:sz="0" w:space="0" w:color="auto"/>
        <w:left w:val="none" w:sz="0" w:space="0" w:color="auto"/>
        <w:bottom w:val="none" w:sz="0" w:space="0" w:color="auto"/>
        <w:right w:val="none" w:sz="0" w:space="0" w:color="auto"/>
      </w:divBdr>
    </w:div>
    <w:div w:id="1836921624">
      <w:bodyDiv w:val="1"/>
      <w:marLeft w:val="0"/>
      <w:marRight w:val="0"/>
      <w:marTop w:val="0"/>
      <w:marBottom w:val="0"/>
      <w:divBdr>
        <w:top w:val="none" w:sz="0" w:space="0" w:color="auto"/>
        <w:left w:val="none" w:sz="0" w:space="0" w:color="auto"/>
        <w:bottom w:val="none" w:sz="0" w:space="0" w:color="auto"/>
        <w:right w:val="none" w:sz="0" w:space="0" w:color="auto"/>
      </w:divBdr>
    </w:div>
    <w:div w:id="1975212447">
      <w:bodyDiv w:val="1"/>
      <w:marLeft w:val="0"/>
      <w:marRight w:val="0"/>
      <w:marTop w:val="0"/>
      <w:marBottom w:val="0"/>
      <w:divBdr>
        <w:top w:val="none" w:sz="0" w:space="0" w:color="auto"/>
        <w:left w:val="none" w:sz="0" w:space="0" w:color="auto"/>
        <w:bottom w:val="none" w:sz="0" w:space="0" w:color="auto"/>
        <w:right w:val="none" w:sz="0" w:space="0" w:color="auto"/>
      </w:divBdr>
      <w:divsChild>
        <w:div w:id="1892229332">
          <w:marLeft w:val="0"/>
          <w:marRight w:val="0"/>
          <w:marTop w:val="0"/>
          <w:marBottom w:val="0"/>
          <w:divBdr>
            <w:top w:val="none" w:sz="0" w:space="0" w:color="auto"/>
            <w:left w:val="none" w:sz="0" w:space="0" w:color="auto"/>
            <w:bottom w:val="none" w:sz="0" w:space="0" w:color="auto"/>
            <w:right w:val="none" w:sz="0" w:space="0" w:color="auto"/>
          </w:divBdr>
          <w:divsChild>
            <w:div w:id="416168590">
              <w:marLeft w:val="0"/>
              <w:marRight w:val="0"/>
              <w:marTop w:val="0"/>
              <w:marBottom w:val="0"/>
              <w:divBdr>
                <w:top w:val="none" w:sz="0" w:space="0" w:color="auto"/>
                <w:left w:val="none" w:sz="0" w:space="0" w:color="auto"/>
                <w:bottom w:val="none" w:sz="0" w:space="0" w:color="auto"/>
                <w:right w:val="none" w:sz="0" w:space="0" w:color="auto"/>
              </w:divBdr>
              <w:divsChild>
                <w:div w:id="1905799282">
                  <w:marLeft w:val="0"/>
                  <w:marRight w:val="0"/>
                  <w:marTop w:val="0"/>
                  <w:marBottom w:val="0"/>
                  <w:divBdr>
                    <w:top w:val="none" w:sz="0" w:space="0" w:color="auto"/>
                    <w:left w:val="none" w:sz="0" w:space="0" w:color="auto"/>
                    <w:bottom w:val="none" w:sz="0" w:space="0" w:color="auto"/>
                    <w:right w:val="none" w:sz="0" w:space="0" w:color="auto"/>
                  </w:divBdr>
                  <w:divsChild>
                    <w:div w:id="158078540">
                      <w:marLeft w:val="0"/>
                      <w:marRight w:val="0"/>
                      <w:marTop w:val="0"/>
                      <w:marBottom w:val="0"/>
                      <w:divBdr>
                        <w:top w:val="none" w:sz="0" w:space="0" w:color="auto"/>
                        <w:left w:val="none" w:sz="0" w:space="0" w:color="auto"/>
                        <w:bottom w:val="none" w:sz="0" w:space="0" w:color="auto"/>
                        <w:right w:val="none" w:sz="0" w:space="0" w:color="auto"/>
                      </w:divBdr>
                      <w:divsChild>
                        <w:div w:id="1459256109">
                          <w:marLeft w:val="0"/>
                          <w:marRight w:val="0"/>
                          <w:marTop w:val="0"/>
                          <w:marBottom w:val="0"/>
                          <w:divBdr>
                            <w:top w:val="none" w:sz="0" w:space="0" w:color="auto"/>
                            <w:left w:val="none" w:sz="0" w:space="0" w:color="auto"/>
                            <w:bottom w:val="none" w:sz="0" w:space="0" w:color="auto"/>
                            <w:right w:val="none" w:sz="0" w:space="0" w:color="auto"/>
                          </w:divBdr>
                          <w:divsChild>
                            <w:div w:id="996567910">
                              <w:marLeft w:val="0"/>
                              <w:marRight w:val="0"/>
                              <w:marTop w:val="0"/>
                              <w:marBottom w:val="0"/>
                              <w:divBdr>
                                <w:top w:val="none" w:sz="0" w:space="0" w:color="auto"/>
                                <w:left w:val="none" w:sz="0" w:space="0" w:color="auto"/>
                                <w:bottom w:val="none" w:sz="0" w:space="0" w:color="auto"/>
                                <w:right w:val="none" w:sz="0" w:space="0" w:color="auto"/>
                              </w:divBdr>
                              <w:divsChild>
                                <w:div w:id="18327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Dees</dc:creator>
  <cp:lastModifiedBy>Barbara Dees</cp:lastModifiedBy>
  <cp:revision>5</cp:revision>
  <cp:lastPrinted>2016-10-13T21:44:00Z</cp:lastPrinted>
  <dcterms:created xsi:type="dcterms:W3CDTF">2016-10-26T15:45:00Z</dcterms:created>
  <dcterms:modified xsi:type="dcterms:W3CDTF">2016-10-26T15:53:00Z</dcterms:modified>
</cp:coreProperties>
</file>